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0D7" w:rsidRPr="000440D7" w:rsidRDefault="000440D7" w:rsidP="000440D7">
      <w:pPr>
        <w:widowControl/>
        <w:jc w:val="center"/>
        <w:outlineLvl w:val="2"/>
        <w:rPr>
          <w:rFonts w:ascii="黑体;" w:eastAsia="黑体;" w:hAnsi="宋体" w:cs="宋体"/>
          <w:b/>
          <w:bCs/>
          <w:color w:val="111111"/>
          <w:kern w:val="0"/>
          <w:sz w:val="36"/>
          <w:szCs w:val="36"/>
        </w:rPr>
      </w:pPr>
      <w:r w:rsidRPr="000440D7">
        <w:rPr>
          <w:rFonts w:ascii="黑体;" w:eastAsia="黑体;" w:hAnsi="宋体" w:cs="宋体" w:hint="eastAsia"/>
          <w:b/>
          <w:bCs/>
          <w:color w:val="111111"/>
          <w:kern w:val="0"/>
          <w:sz w:val="36"/>
          <w:szCs w:val="36"/>
        </w:rPr>
        <w:t>福建省教育厅办公室关于进一步加强和改进高校毕业生就业统计工作的通知</w:t>
      </w:r>
    </w:p>
    <w:p w:rsidR="000440D7" w:rsidRDefault="000440D7" w:rsidP="000440D7">
      <w:pPr>
        <w:widowControl/>
        <w:jc w:val="center"/>
        <w:outlineLvl w:val="3"/>
        <w:rPr>
          <w:rFonts w:ascii="宋体" w:eastAsia="宋体" w:hAnsi="宋体" w:cs="宋体"/>
          <w:b/>
          <w:bCs/>
          <w:color w:val="111111"/>
          <w:kern w:val="0"/>
          <w:sz w:val="27"/>
          <w:szCs w:val="27"/>
        </w:rPr>
      </w:pPr>
      <w:r w:rsidRPr="000440D7">
        <w:rPr>
          <w:rFonts w:ascii="宋体" w:eastAsia="宋体" w:hAnsi="宋体" w:cs="宋体" w:hint="eastAsia"/>
          <w:b/>
          <w:bCs/>
          <w:color w:val="111111"/>
          <w:kern w:val="0"/>
          <w:sz w:val="27"/>
          <w:szCs w:val="27"/>
        </w:rPr>
        <w:t>闽教办学〔2018〕25号</w:t>
      </w:r>
    </w:p>
    <w:p w:rsidR="007103EC" w:rsidRDefault="007103EC" w:rsidP="000440D7">
      <w:pPr>
        <w:widowControl/>
        <w:jc w:val="center"/>
        <w:outlineLvl w:val="3"/>
        <w:rPr>
          <w:rFonts w:ascii="宋体" w:eastAsia="宋体" w:hAnsi="宋体" w:cs="宋体"/>
          <w:b/>
          <w:bCs/>
          <w:color w:val="111111"/>
          <w:kern w:val="0"/>
          <w:sz w:val="27"/>
          <w:szCs w:val="27"/>
        </w:rPr>
      </w:pPr>
    </w:p>
    <w:p w:rsidR="007103EC" w:rsidRDefault="007103EC" w:rsidP="000440D7">
      <w:pPr>
        <w:widowControl/>
        <w:jc w:val="center"/>
        <w:outlineLvl w:val="3"/>
        <w:rPr>
          <w:rFonts w:ascii="宋体" w:eastAsia="宋体" w:hint="eastAsia"/>
          <w:color w:val="111111"/>
          <w:sz w:val="27"/>
          <w:szCs w:val="27"/>
        </w:rPr>
      </w:pPr>
      <w:bookmarkStart w:id="0" w:name="_GoBack"/>
      <w:bookmarkEnd w:id="0"/>
    </w:p>
    <w:p w:rsidR="0030747A" w:rsidRDefault="000440D7" w:rsidP="002C54DF">
      <w:pPr>
        <w:widowControl/>
        <w:spacing w:line="360" w:lineRule="auto"/>
        <w:rPr>
          <w:rFonts w:ascii="宋体" w:eastAsia="宋体" w:hAnsi="宋体" w:cs="宋体"/>
          <w:color w:val="333333"/>
          <w:kern w:val="0"/>
          <w:sz w:val="24"/>
          <w:szCs w:val="21"/>
        </w:rPr>
      </w:pPr>
      <w:r w:rsidRPr="000440D7">
        <w:rPr>
          <w:rFonts w:ascii="宋体" w:eastAsia="宋体" w:hAnsi="宋体" w:cs="宋体" w:hint="eastAsia"/>
          <w:color w:val="333333"/>
          <w:kern w:val="0"/>
          <w:sz w:val="24"/>
          <w:szCs w:val="21"/>
        </w:rPr>
        <w:t>各设区市教育局，各普通高校：</w:t>
      </w:r>
    </w:p>
    <w:p w:rsidR="00320484" w:rsidRDefault="000440D7" w:rsidP="002C54DF">
      <w:pPr>
        <w:widowControl/>
        <w:spacing w:line="360" w:lineRule="auto"/>
        <w:ind w:firstLineChars="200" w:firstLine="480"/>
        <w:rPr>
          <w:rFonts w:ascii="宋体" w:eastAsia="宋体" w:hAnsi="宋体" w:cs="宋体"/>
          <w:color w:val="333333"/>
          <w:kern w:val="0"/>
          <w:sz w:val="24"/>
          <w:szCs w:val="21"/>
        </w:rPr>
      </w:pPr>
      <w:r w:rsidRPr="000440D7">
        <w:rPr>
          <w:rFonts w:ascii="宋体" w:eastAsia="宋体" w:hAnsi="宋体" w:cs="宋体" w:hint="eastAsia"/>
          <w:color w:val="333333"/>
          <w:kern w:val="0"/>
          <w:sz w:val="24"/>
          <w:szCs w:val="21"/>
        </w:rPr>
        <w:t>为贯彻落实国务院第五次大督查反馈意见、整改要求和《教育部关于做好2019届全国普通高等学校毕业生就业创业工作的通知》（教学〔2018〕8号）精神，健全毕业生参与的就业信息采集和就业状况统计指标体系核查机制，建立未就业毕业生统计机制，确保高校毕业生就业统计数据真实性、准确性和完整性，为制订高校毕业生就业政策和高校专业设置、学科结构调整提供科学依据，现就进一步加强和改进高校就业统计工作有关事项通知如下：</w:t>
      </w:r>
    </w:p>
    <w:p w:rsidR="00D078F5" w:rsidRPr="002C54DF" w:rsidRDefault="00B11611" w:rsidP="002C54DF">
      <w:pPr>
        <w:widowControl/>
        <w:spacing w:line="360" w:lineRule="auto"/>
        <w:ind w:firstLineChars="200" w:firstLine="480"/>
        <w:rPr>
          <w:rFonts w:ascii="宋体" w:eastAsia="宋体" w:hAnsi="宋体" w:cs="宋体"/>
          <w:color w:val="333333"/>
          <w:kern w:val="0"/>
          <w:sz w:val="24"/>
          <w:szCs w:val="24"/>
        </w:rPr>
      </w:pPr>
      <w:r w:rsidRPr="002C54DF">
        <w:rPr>
          <w:rFonts w:ascii="宋体" w:eastAsia="宋体" w:hAnsi="宋体" w:cs="宋体" w:hint="eastAsia"/>
          <w:color w:val="333333"/>
          <w:kern w:val="0"/>
          <w:sz w:val="24"/>
          <w:szCs w:val="24"/>
        </w:rPr>
        <w:t>一、</w:t>
      </w:r>
      <w:r w:rsidR="000440D7" w:rsidRPr="002C54DF">
        <w:rPr>
          <w:rFonts w:ascii="宋体" w:eastAsia="宋体" w:hAnsi="宋体" w:cs="宋体" w:hint="eastAsia"/>
          <w:color w:val="333333"/>
          <w:kern w:val="0"/>
          <w:sz w:val="24"/>
          <w:szCs w:val="24"/>
        </w:rPr>
        <w:t>高度重视毕业生就业统计工作，制定完善相关统计制度</w:t>
      </w:r>
    </w:p>
    <w:p w:rsidR="00444F72" w:rsidRPr="002C54DF" w:rsidRDefault="000440D7" w:rsidP="002C54DF">
      <w:pPr>
        <w:spacing w:line="360" w:lineRule="auto"/>
        <w:ind w:firstLineChars="200" w:firstLine="480"/>
        <w:rPr>
          <w:sz w:val="24"/>
          <w:szCs w:val="24"/>
        </w:rPr>
      </w:pPr>
      <w:r w:rsidRPr="002C54DF">
        <w:rPr>
          <w:rFonts w:hint="eastAsia"/>
          <w:sz w:val="24"/>
          <w:szCs w:val="24"/>
        </w:rPr>
        <w:t>高校毕业生就业统计工作时效性强、政策性强，就业状况统计是做好毕业生就业创业工作的基础，也是精准帮扶就业困难毕业生的重要依据。各地各高校要高度重视，加强管理，认真落实就业统计工作领导责任制和工作责任制，建立完善校、院、班级就业统计、核查机制，严格按照教育部有关工作要求，认真做好已就业学生就业方案的审核、统计和录入工作，建立健全全口径数据信息库，确保数据信息完整、真实、可靠、可核查。要切实将有就业意愿而尚未就业毕业生、暂不就业毕业生作为统计服务工作重点，明确任务分工和岗位责任，加大精准帮扶和保障力度，一级抓一级，层层抓落实，确保未就业统计准确、及时，保证就业帮扶有的放矢、精准到位。</w:t>
      </w:r>
    </w:p>
    <w:p w:rsidR="00424B74" w:rsidRPr="002C54DF" w:rsidRDefault="000440D7" w:rsidP="002C54DF">
      <w:pPr>
        <w:spacing w:line="360" w:lineRule="auto"/>
        <w:ind w:firstLineChars="200" w:firstLine="480"/>
        <w:rPr>
          <w:sz w:val="24"/>
          <w:szCs w:val="24"/>
        </w:rPr>
      </w:pPr>
      <w:r w:rsidRPr="002C54DF">
        <w:rPr>
          <w:rFonts w:hint="eastAsia"/>
          <w:sz w:val="24"/>
          <w:szCs w:val="24"/>
        </w:rPr>
        <w:t>二、建立健全科学系统的就业统计评价体系，严防就业率“注水”</w:t>
      </w:r>
    </w:p>
    <w:p w:rsidR="000C0DD2" w:rsidRPr="002C54DF" w:rsidRDefault="000440D7" w:rsidP="002C54DF">
      <w:pPr>
        <w:spacing w:line="360" w:lineRule="auto"/>
        <w:ind w:firstLineChars="200" w:firstLine="480"/>
        <w:rPr>
          <w:sz w:val="24"/>
          <w:szCs w:val="24"/>
        </w:rPr>
      </w:pPr>
      <w:r w:rsidRPr="002C54DF">
        <w:rPr>
          <w:rFonts w:hint="eastAsia"/>
          <w:sz w:val="24"/>
          <w:szCs w:val="24"/>
        </w:rPr>
        <w:t>各地各高校要探索建立科学系统的毕业生就业统计和评价体系，改变以就业率为单一准则的就业评价方式。要将大学生的薪酬水平、岗位与专业匹配性、福利和社会保障等指标引入就业评价体系。除了统计就业率，还应注重大学生的就业质量。同时，还应跟踪毕业生跳槽频率、专业吻合度、就业层次等量化数据，增强就业评价的参考性和指导性。要针对学生就业多元化状况分别进行评价，对</w:t>
      </w:r>
      <w:r w:rsidRPr="002C54DF">
        <w:rPr>
          <w:rFonts w:hint="eastAsia"/>
          <w:sz w:val="24"/>
          <w:szCs w:val="24"/>
        </w:rPr>
        <w:lastRenderedPageBreak/>
        <w:t>就业率的统计对象进行分类，对有就业意愿的应届毕业生、自主创业毕业生、“慢就业”毕业生等不同群体分别进行统计和评价。要挤出就业率虚高的“水分”，引入第三方评价机构统计就业率，并对就业质量做出详细分析和反馈，为高校改进就业和教学工作提供科学依据。</w:t>
      </w:r>
    </w:p>
    <w:p w:rsidR="008C1A98" w:rsidRPr="002C54DF" w:rsidRDefault="008C1A98" w:rsidP="002C54DF">
      <w:pPr>
        <w:spacing w:line="360" w:lineRule="auto"/>
        <w:ind w:firstLineChars="200" w:firstLine="480"/>
        <w:rPr>
          <w:rFonts w:hint="eastAsia"/>
          <w:sz w:val="24"/>
          <w:szCs w:val="24"/>
        </w:rPr>
      </w:pPr>
      <w:r w:rsidRPr="002C54DF">
        <w:rPr>
          <w:rFonts w:hint="eastAsia"/>
          <w:sz w:val="24"/>
          <w:szCs w:val="24"/>
        </w:rPr>
        <w:t>三、强化就业统计指导服务与核查，确保数据信息的真实可</w:t>
      </w:r>
    </w:p>
    <w:p w:rsidR="00BD22CC" w:rsidRPr="002C54DF" w:rsidRDefault="000440D7" w:rsidP="002C54DF">
      <w:pPr>
        <w:spacing w:line="360" w:lineRule="auto"/>
        <w:ind w:firstLineChars="200" w:firstLine="480"/>
        <w:rPr>
          <w:sz w:val="24"/>
          <w:szCs w:val="24"/>
        </w:rPr>
      </w:pPr>
      <w:r w:rsidRPr="002C54DF">
        <w:rPr>
          <w:rFonts w:hint="eastAsia"/>
          <w:sz w:val="24"/>
          <w:szCs w:val="24"/>
        </w:rPr>
        <w:t>各地各高校要加强就业工作人员及班主任、辅导员等相关人员的业务学习和培训，强化职业道德教育和毕业生的诚信教育，提高服务意识和水平。学校要安排专人负责毕业生就业监测系统的数据核对及更新工作，各院（系）、各班级也要有专人负责对每位毕业生填写上报的就业材料信息进行甄别核查，及时收集、掌握毕业生未就业的基本情况，分析其原因，严防虚假就业，确保统计数据及掌握的信息真实有效。学校要根据毕业生《就业协议书》等就业佐证材料签订内容，确定每一位毕业生的就业去向，严格根据教育部“监测系统”的数据，准确打印《报到证》，做好毕业生就业情况的跟踪调查，特别是离校未就业和灵活就业、就业困难毕业生的就业情况跟踪调查和信息衔接。</w:t>
      </w:r>
    </w:p>
    <w:p w:rsidR="00114F73" w:rsidRPr="002C54DF" w:rsidRDefault="000440D7" w:rsidP="002C54DF">
      <w:pPr>
        <w:spacing w:line="360" w:lineRule="auto"/>
        <w:ind w:firstLineChars="200" w:firstLine="480"/>
        <w:rPr>
          <w:rFonts w:hint="eastAsia"/>
          <w:sz w:val="24"/>
          <w:szCs w:val="24"/>
        </w:rPr>
      </w:pPr>
      <w:r w:rsidRPr="002C54DF">
        <w:rPr>
          <w:rFonts w:hint="eastAsia"/>
          <w:sz w:val="24"/>
          <w:szCs w:val="24"/>
        </w:rPr>
        <w:t>四、加强就业统计工作规范化管理，严肃责任追究</w:t>
      </w:r>
    </w:p>
    <w:p w:rsidR="00F91CC9" w:rsidRPr="002C54DF" w:rsidRDefault="000440D7" w:rsidP="002C54DF">
      <w:pPr>
        <w:spacing w:line="360" w:lineRule="auto"/>
        <w:ind w:firstLineChars="200" w:firstLine="480"/>
        <w:rPr>
          <w:sz w:val="24"/>
          <w:szCs w:val="24"/>
        </w:rPr>
      </w:pPr>
      <w:r w:rsidRPr="002C54DF">
        <w:rPr>
          <w:rFonts w:hint="eastAsia"/>
          <w:sz w:val="24"/>
          <w:szCs w:val="24"/>
        </w:rPr>
        <w:t>各地各高校要健全完善毕业生参与的就业状况统计、核查机制和就业统计工作评估核查、抽样调查制度，认真落实就业统计具体工作措施，特别要严格落实就业工作“四不准”规定要求，即不准以任何方式强迫毕业生签订就业协议，不准将毕业证书、学位证书发放与签约挂钩，不准以户档托管为由劝说毕业生签订虚假协议，不准将顶岗实习、见习证明材料作为就业证明材料。要逐地、逐级建立就业督查通报制度，设立举报电话，自觉接受社会监督，对查实的弄虚作假等问题要严查严处，通报批评。</w:t>
      </w:r>
    </w:p>
    <w:p w:rsidR="009E0B79" w:rsidRPr="002C54DF" w:rsidRDefault="000440D7" w:rsidP="002C54DF">
      <w:pPr>
        <w:widowControl/>
        <w:spacing w:line="360" w:lineRule="auto"/>
        <w:ind w:firstLineChars="200" w:firstLine="480"/>
        <w:rPr>
          <w:rFonts w:ascii="宋体" w:eastAsia="宋体" w:hAnsi="宋体" w:cs="宋体"/>
          <w:color w:val="333333"/>
          <w:kern w:val="0"/>
          <w:sz w:val="24"/>
          <w:szCs w:val="24"/>
        </w:rPr>
      </w:pPr>
      <w:r w:rsidRPr="002C54DF">
        <w:rPr>
          <w:rFonts w:ascii="宋体" w:eastAsia="宋体" w:hAnsi="宋体" w:cs="宋体" w:hint="eastAsia"/>
          <w:color w:val="333333"/>
          <w:kern w:val="0"/>
          <w:sz w:val="24"/>
          <w:szCs w:val="24"/>
        </w:rPr>
        <w:t>我厅将适时组织力量或委托第三方对高校就业统计、核查工作落实情况采取短信核查、随机抽查等方式进行督查，发现违反有关规定，弄虚作假或经举报确有存在违反有关规定的，将与学校招生计划、专业设置、绩效奖励等项目挂钩，同时约谈学校主要领导并通报批评，情节严重、造成不良影响的，将依法依规依纪追究有关人员责任。</w:t>
      </w:r>
    </w:p>
    <w:p w:rsidR="008D5E4A" w:rsidRPr="002C54DF" w:rsidRDefault="000440D7" w:rsidP="002C54DF">
      <w:pPr>
        <w:widowControl/>
        <w:spacing w:line="360" w:lineRule="auto"/>
        <w:ind w:firstLineChars="200" w:firstLine="480"/>
        <w:rPr>
          <w:rFonts w:ascii="宋体" w:eastAsia="宋体" w:hAnsi="宋体" w:cs="宋体"/>
          <w:color w:val="333333"/>
          <w:kern w:val="0"/>
          <w:sz w:val="24"/>
          <w:szCs w:val="24"/>
        </w:rPr>
      </w:pPr>
      <w:r w:rsidRPr="002C54DF">
        <w:rPr>
          <w:rFonts w:ascii="宋体" w:eastAsia="宋体" w:hAnsi="宋体" w:cs="宋体" w:hint="eastAsia"/>
          <w:color w:val="333333"/>
          <w:kern w:val="0"/>
          <w:sz w:val="24"/>
          <w:szCs w:val="24"/>
        </w:rPr>
        <w:t>各地各高校要按照通知要求，对本校毕业生就业统计工作进行认真梳理，完善就业统计工作相关资料及台账，迅速组织一次毕业生就业统计、核查工作情况</w:t>
      </w:r>
      <w:r w:rsidRPr="002C54DF">
        <w:rPr>
          <w:rFonts w:ascii="宋体" w:eastAsia="宋体" w:hAnsi="宋体" w:cs="宋体" w:hint="eastAsia"/>
          <w:color w:val="333333"/>
          <w:kern w:val="0"/>
          <w:sz w:val="24"/>
          <w:szCs w:val="24"/>
        </w:rPr>
        <w:lastRenderedPageBreak/>
        <w:t>自查自评，发现问题及时纠正，自查自评报告请于2019年1月10日前报送我厅学生工作处。</w:t>
      </w:r>
    </w:p>
    <w:p w:rsidR="000440D7" w:rsidRPr="002C54DF" w:rsidRDefault="000440D7" w:rsidP="002C54DF">
      <w:pPr>
        <w:widowControl/>
        <w:spacing w:line="360" w:lineRule="auto"/>
        <w:ind w:firstLineChars="200" w:firstLine="480"/>
        <w:rPr>
          <w:rFonts w:ascii="宋体" w:eastAsia="宋体" w:hAnsi="宋体" w:cs="宋体"/>
          <w:color w:val="333333"/>
          <w:kern w:val="0"/>
          <w:sz w:val="24"/>
          <w:szCs w:val="24"/>
        </w:rPr>
      </w:pPr>
      <w:r w:rsidRPr="002C54DF">
        <w:rPr>
          <w:rFonts w:ascii="宋体" w:eastAsia="宋体" w:hAnsi="宋体" w:cs="宋体" w:hint="eastAsia"/>
          <w:color w:val="333333"/>
          <w:kern w:val="0"/>
          <w:sz w:val="24"/>
          <w:szCs w:val="24"/>
        </w:rPr>
        <w:t>联系人：刘晓路，电话：0591-87091487，邮箱：</w:t>
      </w:r>
      <w:hyperlink r:id="rId7" w:history="1">
        <w:r w:rsidRPr="002C54DF">
          <w:rPr>
            <w:rFonts w:ascii="宋体" w:eastAsia="宋体" w:hAnsi="宋体" w:cs="宋体" w:hint="eastAsia"/>
            <w:color w:val="333333"/>
            <w:kern w:val="0"/>
            <w:sz w:val="24"/>
            <w:szCs w:val="24"/>
          </w:rPr>
          <w:t>jytxsc@126.com</w:t>
        </w:r>
      </w:hyperlink>
      <w:r w:rsidRPr="002C54DF">
        <w:rPr>
          <w:rFonts w:ascii="宋体" w:eastAsia="宋体" w:hAnsi="宋体" w:cs="宋体" w:hint="eastAsia"/>
          <w:color w:val="333333"/>
          <w:kern w:val="0"/>
          <w:sz w:val="24"/>
          <w:szCs w:val="24"/>
        </w:rPr>
        <w:t>。</w:t>
      </w:r>
    </w:p>
    <w:p w:rsidR="008D5E4A" w:rsidRDefault="008D5E4A" w:rsidP="000440D7">
      <w:pPr>
        <w:widowControl/>
        <w:spacing w:line="510" w:lineRule="atLeast"/>
        <w:jc w:val="right"/>
        <w:rPr>
          <w:rFonts w:ascii="宋体" w:eastAsia="宋体" w:hAnsi="宋体" w:cs="宋体"/>
          <w:color w:val="333333"/>
          <w:kern w:val="0"/>
          <w:sz w:val="24"/>
          <w:szCs w:val="21"/>
        </w:rPr>
      </w:pPr>
    </w:p>
    <w:p w:rsidR="008D5E4A" w:rsidRDefault="008D5E4A" w:rsidP="000440D7">
      <w:pPr>
        <w:widowControl/>
        <w:spacing w:line="510" w:lineRule="atLeast"/>
        <w:jc w:val="right"/>
        <w:rPr>
          <w:rFonts w:ascii="宋体" w:eastAsia="宋体" w:hAnsi="宋体" w:cs="宋体"/>
          <w:color w:val="333333"/>
          <w:kern w:val="0"/>
          <w:sz w:val="24"/>
          <w:szCs w:val="21"/>
        </w:rPr>
      </w:pPr>
    </w:p>
    <w:p w:rsidR="000440D7" w:rsidRPr="000440D7" w:rsidRDefault="000440D7" w:rsidP="000440D7">
      <w:pPr>
        <w:widowControl/>
        <w:spacing w:line="510" w:lineRule="atLeast"/>
        <w:jc w:val="right"/>
        <w:rPr>
          <w:rFonts w:ascii="宋体" w:eastAsia="宋体" w:hAnsi="宋体" w:cs="宋体"/>
          <w:color w:val="333333"/>
          <w:kern w:val="0"/>
          <w:sz w:val="24"/>
          <w:szCs w:val="21"/>
        </w:rPr>
      </w:pPr>
      <w:r w:rsidRPr="000440D7">
        <w:rPr>
          <w:rFonts w:ascii="宋体" w:eastAsia="宋体" w:hAnsi="宋体" w:cs="宋体" w:hint="eastAsia"/>
          <w:color w:val="333333"/>
          <w:kern w:val="0"/>
          <w:sz w:val="24"/>
          <w:szCs w:val="21"/>
        </w:rPr>
        <w:t>福建省教育厅办公室</w:t>
      </w:r>
      <w:r w:rsidRPr="000440D7">
        <w:rPr>
          <w:rFonts w:ascii="宋体" w:eastAsia="宋体" w:hAnsi="宋体" w:cs="宋体" w:hint="eastAsia"/>
          <w:color w:val="333333"/>
          <w:kern w:val="0"/>
          <w:sz w:val="24"/>
          <w:szCs w:val="21"/>
        </w:rPr>
        <w:br/>
        <w:t>2018年12月24日</w:t>
      </w:r>
    </w:p>
    <w:p w:rsidR="00CD1F7D" w:rsidRPr="000440D7" w:rsidRDefault="00CD1F7D">
      <w:pPr>
        <w:rPr>
          <w:sz w:val="24"/>
        </w:rPr>
      </w:pPr>
    </w:p>
    <w:sectPr w:rsidR="00CD1F7D" w:rsidRPr="000440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C0" w:rsidRDefault="00D30DC0" w:rsidP="000440D7">
      <w:r>
        <w:separator/>
      </w:r>
    </w:p>
  </w:endnote>
  <w:endnote w:type="continuationSeparator" w:id="0">
    <w:p w:rsidR="00D30DC0" w:rsidRDefault="00D30DC0" w:rsidP="0004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C0" w:rsidRDefault="00D30DC0" w:rsidP="000440D7">
      <w:r>
        <w:separator/>
      </w:r>
    </w:p>
  </w:footnote>
  <w:footnote w:type="continuationSeparator" w:id="0">
    <w:p w:rsidR="00D30DC0" w:rsidRDefault="00D30DC0" w:rsidP="0004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C72D1"/>
    <w:multiLevelType w:val="hybridMultilevel"/>
    <w:tmpl w:val="71BEF7F8"/>
    <w:lvl w:ilvl="0" w:tplc="5EDA575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AB"/>
    <w:rsid w:val="000440D7"/>
    <w:rsid w:val="00095D4E"/>
    <w:rsid w:val="000C0DD2"/>
    <w:rsid w:val="00114F73"/>
    <w:rsid w:val="002C54DF"/>
    <w:rsid w:val="0030747A"/>
    <w:rsid w:val="00320484"/>
    <w:rsid w:val="00424B74"/>
    <w:rsid w:val="00444F72"/>
    <w:rsid w:val="004C2DD6"/>
    <w:rsid w:val="006316D3"/>
    <w:rsid w:val="007103EC"/>
    <w:rsid w:val="007470C8"/>
    <w:rsid w:val="008C1A98"/>
    <w:rsid w:val="008D5E4A"/>
    <w:rsid w:val="009E0B79"/>
    <w:rsid w:val="00A11D58"/>
    <w:rsid w:val="00B11611"/>
    <w:rsid w:val="00B60F14"/>
    <w:rsid w:val="00BD22CC"/>
    <w:rsid w:val="00C835E9"/>
    <w:rsid w:val="00CD1F7D"/>
    <w:rsid w:val="00CF35F1"/>
    <w:rsid w:val="00D078F5"/>
    <w:rsid w:val="00D30DC0"/>
    <w:rsid w:val="00E96CAB"/>
    <w:rsid w:val="00F9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DC5DB-DA4D-4D42-9E2D-8A1B788E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0440D7"/>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440D7"/>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0D7"/>
    <w:rPr>
      <w:sz w:val="18"/>
      <w:szCs w:val="18"/>
    </w:rPr>
  </w:style>
  <w:style w:type="paragraph" w:styleId="a4">
    <w:name w:val="footer"/>
    <w:basedOn w:val="a"/>
    <w:link w:val="Char0"/>
    <w:uiPriority w:val="99"/>
    <w:unhideWhenUsed/>
    <w:rsid w:val="000440D7"/>
    <w:pPr>
      <w:tabs>
        <w:tab w:val="center" w:pos="4153"/>
        <w:tab w:val="right" w:pos="8306"/>
      </w:tabs>
      <w:snapToGrid w:val="0"/>
      <w:jc w:val="left"/>
    </w:pPr>
    <w:rPr>
      <w:sz w:val="18"/>
      <w:szCs w:val="18"/>
    </w:rPr>
  </w:style>
  <w:style w:type="character" w:customStyle="1" w:styleId="Char0">
    <w:name w:val="页脚 Char"/>
    <w:basedOn w:val="a0"/>
    <w:link w:val="a4"/>
    <w:uiPriority w:val="99"/>
    <w:rsid w:val="000440D7"/>
    <w:rPr>
      <w:sz w:val="18"/>
      <w:szCs w:val="18"/>
    </w:rPr>
  </w:style>
  <w:style w:type="character" w:customStyle="1" w:styleId="3Char">
    <w:name w:val="标题 3 Char"/>
    <w:basedOn w:val="a0"/>
    <w:link w:val="3"/>
    <w:uiPriority w:val="9"/>
    <w:rsid w:val="000440D7"/>
    <w:rPr>
      <w:rFonts w:ascii="宋体" w:eastAsia="宋体" w:hAnsi="宋体" w:cs="宋体"/>
      <w:b/>
      <w:bCs/>
      <w:kern w:val="0"/>
      <w:sz w:val="27"/>
      <w:szCs w:val="27"/>
    </w:rPr>
  </w:style>
  <w:style w:type="character" w:customStyle="1" w:styleId="4Char">
    <w:name w:val="标题 4 Char"/>
    <w:basedOn w:val="a0"/>
    <w:link w:val="4"/>
    <w:uiPriority w:val="9"/>
    <w:rsid w:val="000440D7"/>
    <w:rPr>
      <w:rFonts w:ascii="宋体" w:eastAsia="宋体" w:hAnsi="宋体" w:cs="宋体"/>
      <w:b/>
      <w:bCs/>
      <w:kern w:val="0"/>
      <w:sz w:val="24"/>
      <w:szCs w:val="24"/>
    </w:rPr>
  </w:style>
  <w:style w:type="character" w:styleId="a5">
    <w:name w:val="Hyperlink"/>
    <w:basedOn w:val="a0"/>
    <w:uiPriority w:val="99"/>
    <w:semiHidden/>
    <w:unhideWhenUsed/>
    <w:rsid w:val="000440D7"/>
    <w:rPr>
      <w:strike w:val="0"/>
      <w:dstrike w:val="0"/>
      <w:color w:val="333333"/>
      <w:u w:val="none"/>
      <w:effect w:val="none"/>
    </w:rPr>
  </w:style>
  <w:style w:type="paragraph" w:styleId="a6">
    <w:name w:val="Balloon Text"/>
    <w:basedOn w:val="a"/>
    <w:link w:val="Char1"/>
    <w:uiPriority w:val="99"/>
    <w:semiHidden/>
    <w:unhideWhenUsed/>
    <w:rsid w:val="000440D7"/>
    <w:rPr>
      <w:sz w:val="18"/>
      <w:szCs w:val="18"/>
    </w:rPr>
  </w:style>
  <w:style w:type="character" w:customStyle="1" w:styleId="Char1">
    <w:name w:val="批注框文本 Char"/>
    <w:basedOn w:val="a0"/>
    <w:link w:val="a6"/>
    <w:uiPriority w:val="99"/>
    <w:semiHidden/>
    <w:rsid w:val="000440D7"/>
    <w:rPr>
      <w:sz w:val="18"/>
      <w:szCs w:val="18"/>
    </w:rPr>
  </w:style>
  <w:style w:type="paragraph" w:styleId="a7">
    <w:name w:val="List Paragraph"/>
    <w:basedOn w:val="a"/>
    <w:uiPriority w:val="34"/>
    <w:qFormat/>
    <w:rsid w:val="00D078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8859">
      <w:bodyDiv w:val="1"/>
      <w:marLeft w:val="0"/>
      <w:marRight w:val="0"/>
      <w:marTop w:val="0"/>
      <w:marBottom w:val="0"/>
      <w:divBdr>
        <w:top w:val="none" w:sz="0" w:space="0" w:color="auto"/>
        <w:left w:val="none" w:sz="0" w:space="0" w:color="auto"/>
        <w:bottom w:val="none" w:sz="0" w:space="0" w:color="auto"/>
        <w:right w:val="none" w:sz="0" w:space="0" w:color="auto"/>
      </w:divBdr>
      <w:divsChild>
        <w:div w:id="1452087255">
          <w:marLeft w:val="0"/>
          <w:marRight w:val="0"/>
          <w:marTop w:val="0"/>
          <w:marBottom w:val="0"/>
          <w:divBdr>
            <w:top w:val="none" w:sz="0" w:space="0" w:color="auto"/>
            <w:left w:val="none" w:sz="0" w:space="0" w:color="auto"/>
            <w:bottom w:val="none" w:sz="0" w:space="0" w:color="auto"/>
            <w:right w:val="none" w:sz="0" w:space="0" w:color="auto"/>
          </w:divBdr>
          <w:divsChild>
            <w:div w:id="185102873">
              <w:marLeft w:val="0"/>
              <w:marRight w:val="0"/>
              <w:marTop w:val="0"/>
              <w:marBottom w:val="0"/>
              <w:divBdr>
                <w:top w:val="none" w:sz="0" w:space="0" w:color="auto"/>
                <w:left w:val="none" w:sz="0" w:space="0" w:color="auto"/>
                <w:bottom w:val="none" w:sz="0" w:space="0" w:color="auto"/>
                <w:right w:val="none" w:sz="0" w:space="0" w:color="auto"/>
              </w:divBdr>
              <w:divsChild>
                <w:div w:id="1370954614">
                  <w:marLeft w:val="0"/>
                  <w:marRight w:val="0"/>
                  <w:marTop w:val="0"/>
                  <w:marBottom w:val="0"/>
                  <w:divBdr>
                    <w:top w:val="none" w:sz="0" w:space="0" w:color="auto"/>
                    <w:left w:val="none" w:sz="0" w:space="0" w:color="auto"/>
                    <w:bottom w:val="none" w:sz="0" w:space="0" w:color="auto"/>
                    <w:right w:val="none" w:sz="0" w:space="0" w:color="auto"/>
                  </w:divBdr>
                  <w:divsChild>
                    <w:div w:id="1140423767">
                      <w:marLeft w:val="0"/>
                      <w:marRight w:val="0"/>
                      <w:marTop w:val="0"/>
                      <w:marBottom w:val="0"/>
                      <w:divBdr>
                        <w:top w:val="none" w:sz="0" w:space="0" w:color="auto"/>
                        <w:left w:val="none" w:sz="0" w:space="0" w:color="auto"/>
                        <w:bottom w:val="none" w:sz="0" w:space="0" w:color="auto"/>
                        <w:right w:val="none" w:sz="0" w:space="0" w:color="auto"/>
                      </w:divBdr>
                      <w:divsChild>
                        <w:div w:id="1329558561">
                          <w:marLeft w:val="0"/>
                          <w:marRight w:val="0"/>
                          <w:marTop w:val="0"/>
                          <w:marBottom w:val="0"/>
                          <w:divBdr>
                            <w:top w:val="none" w:sz="0" w:space="0" w:color="auto"/>
                            <w:left w:val="none" w:sz="0" w:space="0" w:color="auto"/>
                            <w:bottom w:val="none" w:sz="0" w:space="0" w:color="auto"/>
                            <w:right w:val="none" w:sz="0" w:space="0" w:color="auto"/>
                          </w:divBdr>
                          <w:divsChild>
                            <w:div w:id="1549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1063">
      <w:bodyDiv w:val="1"/>
      <w:marLeft w:val="0"/>
      <w:marRight w:val="0"/>
      <w:marTop w:val="0"/>
      <w:marBottom w:val="0"/>
      <w:divBdr>
        <w:top w:val="none" w:sz="0" w:space="0" w:color="auto"/>
        <w:left w:val="none" w:sz="0" w:space="0" w:color="auto"/>
        <w:bottom w:val="none" w:sz="0" w:space="0" w:color="auto"/>
        <w:right w:val="none" w:sz="0" w:space="0" w:color="auto"/>
      </w:divBdr>
      <w:divsChild>
        <w:div w:id="2060743653">
          <w:marLeft w:val="0"/>
          <w:marRight w:val="0"/>
          <w:marTop w:val="0"/>
          <w:marBottom w:val="0"/>
          <w:divBdr>
            <w:top w:val="none" w:sz="0" w:space="0" w:color="auto"/>
            <w:left w:val="none" w:sz="0" w:space="0" w:color="auto"/>
            <w:bottom w:val="none" w:sz="0" w:space="0" w:color="auto"/>
            <w:right w:val="none" w:sz="0" w:space="0" w:color="auto"/>
          </w:divBdr>
          <w:divsChild>
            <w:div w:id="563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8571">
      <w:bodyDiv w:val="1"/>
      <w:marLeft w:val="0"/>
      <w:marRight w:val="0"/>
      <w:marTop w:val="0"/>
      <w:marBottom w:val="0"/>
      <w:divBdr>
        <w:top w:val="none" w:sz="0" w:space="0" w:color="auto"/>
        <w:left w:val="none" w:sz="0" w:space="0" w:color="auto"/>
        <w:bottom w:val="none" w:sz="0" w:space="0" w:color="auto"/>
        <w:right w:val="none" w:sz="0" w:space="0" w:color="auto"/>
      </w:divBdr>
      <w:divsChild>
        <w:div w:id="138691224">
          <w:marLeft w:val="0"/>
          <w:marRight w:val="0"/>
          <w:marTop w:val="0"/>
          <w:marBottom w:val="0"/>
          <w:divBdr>
            <w:top w:val="none" w:sz="0" w:space="0" w:color="auto"/>
            <w:left w:val="none" w:sz="0" w:space="0" w:color="auto"/>
            <w:bottom w:val="none" w:sz="0" w:space="0" w:color="auto"/>
            <w:right w:val="none" w:sz="0" w:space="0" w:color="auto"/>
          </w:divBdr>
          <w:divsChild>
            <w:div w:id="309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txsc@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276</Words>
  <Characters>1578</Characters>
  <Application>Microsoft Office Word</Application>
  <DocSecurity>0</DocSecurity>
  <Lines>13</Lines>
  <Paragraphs>3</Paragraphs>
  <ScaleCrop>false</ScaleCrop>
  <Company>china</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Young</cp:lastModifiedBy>
  <cp:revision>48</cp:revision>
  <cp:lastPrinted>2018-12-26T08:59:00Z</cp:lastPrinted>
  <dcterms:created xsi:type="dcterms:W3CDTF">2018-12-26T08:58:00Z</dcterms:created>
  <dcterms:modified xsi:type="dcterms:W3CDTF">2018-12-27T07:06:00Z</dcterms:modified>
</cp:coreProperties>
</file>