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0" w:hRule="exact"/>
        </w:trPr>
        <w:tc>
          <w:tcPr>
            <w:tcW w:w="8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1800" w:lineRule="exact"/>
              <w:ind w:left="210" w:leftChars="100" w:right="210" w:rightChars="100" w:firstLine="0" w:firstLineChars="0"/>
              <w:jc w:val="distribute"/>
              <w:textAlignment w:val="bottom"/>
              <w:outlineLvl w:val="9"/>
              <w:rPr>
                <w:rFonts w:ascii="方正小标宋简体" w:eastAsia="方正小标宋简体"/>
                <w:b w:val="0"/>
                <w:bCs w:val="0"/>
                <w:w w:val="90"/>
                <w:sz w:val="84"/>
                <w:szCs w:val="84"/>
              </w:rPr>
            </w:pPr>
            <w:r>
              <w:rPr>
                <w:rFonts w:hint="eastAsia" w:ascii="方正小标宋简体" w:eastAsia="方正小标宋简体"/>
                <w:b w:val="0"/>
                <w:bCs w:val="0"/>
                <w:color w:val="FF0000"/>
                <w:w w:val="70"/>
                <w:sz w:val="100"/>
                <w:szCs w:val="100"/>
              </w:rPr>
              <w:t>福建省教育厅</w:t>
            </w:r>
            <w:r>
              <w:rPr>
                <w:rFonts w:hint="eastAsia" w:ascii="方正小标宋简体" w:eastAsia="方正小标宋简体"/>
                <w:b w:val="0"/>
                <w:bCs w:val="0"/>
                <w:color w:val="FF0000"/>
                <w:w w:val="70"/>
                <w:sz w:val="100"/>
                <w:szCs w:val="100"/>
                <w:lang w:eastAsia="zh-CN"/>
              </w:rPr>
              <w:t>办公室</w:t>
            </w:r>
            <w:r>
              <w:rPr>
                <w:rFonts w:hint="eastAsia" w:ascii="方正小标宋简体" w:eastAsia="方正小标宋简体"/>
                <w:b w:val="0"/>
                <w:bCs w:val="0"/>
                <w:color w:val="FF0000"/>
                <w:w w:val="70"/>
                <w:sz w:val="100"/>
                <w:szCs w:val="100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5" w:hRule="exact"/>
        </w:trPr>
        <w:tc>
          <w:tcPr>
            <w:tcW w:w="83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闽教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eastAsia="zh-CN"/>
              </w:rPr>
              <w:t>办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学〔</w:t>
            </w:r>
            <w:r>
              <w:rPr>
                <w:rFonts w:ascii="仿宋_GB2312" w:hAnsi="华文仿宋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华文仿宋" w:eastAsia="仿宋_GB2312"/>
                <w:sz w:val="32"/>
                <w:szCs w:val="32"/>
              </w:rPr>
              <w:t>〕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1095"/>
              </w:tabs>
              <w:adjustRightInd w:val="0"/>
              <w:snapToGrid w:val="0"/>
              <w:spacing w:before="120" w:line="318" w:lineRule="atLeast"/>
              <w:ind w:right="339" w:firstLine="168" w:firstLineChars="80"/>
              <w:jc w:val="center"/>
              <w:textAlignment w:val="bottom"/>
              <w:rPr>
                <w:rFonts w:ascii="仿宋_GB2312" w:hAnsi="仿宋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exact"/>
        </w:trPr>
        <w:tc>
          <w:tcPr>
            <w:tcW w:w="8320" w:type="dxa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exact"/>
        </w:trPr>
        <w:tc>
          <w:tcPr>
            <w:tcW w:w="8320" w:type="dxa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exact"/>
        </w:trPr>
        <w:tc>
          <w:tcPr>
            <w:tcW w:w="8320" w:type="dxa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exact"/>
        </w:trPr>
        <w:tc>
          <w:tcPr>
            <w:tcW w:w="8320" w:type="dxa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cs="宋体"/>
                <w:sz w:val="10"/>
                <w:szCs w:val="10"/>
              </w:rPr>
            </w:pPr>
            <w:r>
              <w:rPr>
                <w:rFonts w:hint="eastAsia" w:ascii="方正小标宋_GBK" w:eastAsia="方正小标宋_GB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43180</wp:posOffset>
                      </wp:positionV>
                      <wp:extent cx="5534025" cy="635"/>
                      <wp:effectExtent l="0" t="19050" r="9525" b="3746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34025" cy="63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1.25pt;margin-top:3.4pt;height:0.05pt;width:435.75pt;z-index:251658240;mso-width-relative:page;mso-height-relative:page;" filled="f" stroked="t" coordsize="21600,21600" o:gfxdata="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7P&#10;2Q3XAAAABwEAAA8AAAAAAAAAAQAgAAAAIgAAAGRycy9kb3ducmV2LnhtbFBLAQIUABQAAAAIAIdO&#10;4kA7RBgO6wEAAKsDAAAOAAAAAAAAAAEAIAAAACYBAABkcnMvZTJvRG9jLnhtbFBLBQYAAAAABgAG&#10;AFkBAACDBQAAAAA=&#10;">
                      <v:fill on="f" focussize="0,0"/>
                      <v:stroke weight="3pt"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66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福建省教育厅办公室关于举办第十三届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福建省大学生职业规划大赛的通知</w:t>
      </w:r>
    </w:p>
    <w:p>
      <w:pPr>
        <w:snapToGrid w:val="0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普通高等学</w:t>
      </w:r>
      <w:r>
        <w:rPr>
          <w:rFonts w:hint="eastAsia" w:ascii="仿宋_GB2312" w:eastAsia="仿宋_GB2312"/>
          <w:sz w:val="32"/>
          <w:szCs w:val="32"/>
        </w:rPr>
        <w:t>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为贯彻落实2020年全国、全省高校毕业生就业创业工作视频会议精神，</w:t>
      </w:r>
      <w:r>
        <w:rPr>
          <w:rFonts w:hint="eastAsia" w:eastAsia="仿宋_GB2312"/>
          <w:sz w:val="32"/>
          <w:szCs w:val="32"/>
        </w:rPr>
        <w:t>强化职业规划</w:t>
      </w:r>
      <w:r>
        <w:rPr>
          <w:rFonts w:hint="eastAsia" w:eastAsia="仿宋_GB2312"/>
          <w:sz w:val="32"/>
          <w:szCs w:val="32"/>
          <w:lang w:eastAsia="zh-CN"/>
        </w:rPr>
        <w:t>教育与</w:t>
      </w:r>
      <w:r>
        <w:rPr>
          <w:rFonts w:hint="eastAsia" w:eastAsia="仿宋_GB2312"/>
          <w:sz w:val="32"/>
          <w:szCs w:val="32"/>
        </w:rPr>
        <w:t>实践，</w:t>
      </w:r>
      <w:r>
        <w:rPr>
          <w:rFonts w:hint="eastAsia" w:ascii="仿宋_GB2312" w:eastAsia="仿宋_GB2312"/>
          <w:sz w:val="32"/>
          <w:szCs w:val="32"/>
        </w:rPr>
        <w:t>提高大学生职业素养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能力，促进高校毕业生更加充分和更高质量就业，</w:t>
      </w:r>
      <w:r>
        <w:rPr>
          <w:rFonts w:hint="eastAsia" w:ascii="仿宋_GB2312" w:hAnsi="仿宋" w:eastAsia="仿宋_GB2312"/>
          <w:sz w:val="32"/>
          <w:szCs w:val="32"/>
        </w:rPr>
        <w:t>经研究，决定举办第十三届福建省大学生职业规划大赛。现将有关事项通知如下：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主办单位：福建省教育厅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承办单位：三明学院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协办单位：福建省高校毕业生就业创业促进会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参赛选手须为福建省普通高等学校全日制本、专科在校生，大赛设本科组和高职组两个组别分别进行评比，</w:t>
      </w:r>
      <w:r>
        <w:rPr>
          <w:rFonts w:hint="eastAsia" w:ascii="仿宋_GB2312" w:hAnsi="宋体" w:eastAsia="仿宋_GB2312"/>
          <w:sz w:val="32"/>
          <w:szCs w:val="32"/>
        </w:rPr>
        <w:t>本科院校的专科生参加高职组</w:t>
      </w:r>
      <w:r>
        <w:rPr>
          <w:rFonts w:hint="eastAsia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三、大赛方式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由高校组织校级选拔赛，我厅组织省级作品书面预审和现场总决赛。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四、大赛流程及时间安排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480" w:firstLineChars="150"/>
        <w:jc w:val="both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</w:t>
      </w:r>
      <w:r>
        <w:rPr>
          <w:rFonts w:hint="eastAsia" w:ascii="仿宋_GB2312" w:hAnsi="微软雅黑" w:eastAsia="仿宋_GB2312"/>
          <w:sz w:val="32"/>
          <w:szCs w:val="32"/>
        </w:rPr>
        <w:t>各高校组织动员学生报名，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/>
          <w:sz w:val="32"/>
          <w:szCs w:val="32"/>
        </w:rPr>
        <w:t>日前，参赛人员登录“</w:t>
      </w:r>
      <w:r>
        <w:rPr>
          <w:rFonts w:hint="eastAsia" w:ascii="仿宋_GB2312" w:hAnsi="仿宋" w:eastAsia="仿宋_GB2312"/>
          <w:sz w:val="32"/>
          <w:szCs w:val="32"/>
        </w:rPr>
        <w:t>福建省大学生职业规划大赛平台</w:t>
      </w:r>
      <w:r>
        <w:rPr>
          <w:rFonts w:hint="eastAsia" w:ascii="仿宋_GB2312" w:hAnsi="微软雅黑" w:eastAsia="仿宋_GB2312"/>
          <w:sz w:val="32"/>
          <w:szCs w:val="32"/>
        </w:rPr>
        <w:t>”（网址为</w:t>
      </w:r>
      <w:r>
        <w:fldChar w:fldCharType="begin"/>
      </w:r>
      <w:r>
        <w:instrText xml:space="preserve"> HYPERLINK "http://www.cezone.cn" </w:instrText>
      </w:r>
      <w:r>
        <w:fldChar w:fldCharType="separate"/>
      </w:r>
      <w:r>
        <w:rPr>
          <w:rStyle w:val="6"/>
          <w:rFonts w:ascii="仿宋_GB2312" w:hAnsi="微软雅黑" w:eastAsia="仿宋_GB2312"/>
          <w:color w:val="auto"/>
          <w:sz w:val="32"/>
          <w:szCs w:val="32"/>
          <w:u w:val="none"/>
        </w:rPr>
        <w:t>http://</w:t>
      </w:r>
      <w:r>
        <w:rPr>
          <w:rFonts w:hint="eastAsia" w:ascii="仿宋_GB2312" w:hAnsi="黑体" w:eastAsia="仿宋_GB2312"/>
          <w:sz w:val="32"/>
          <w:szCs w:val="32"/>
          <w:u w:val="none"/>
        </w:rPr>
        <w:t>www</w:t>
      </w:r>
      <w:r>
        <w:rPr>
          <w:rFonts w:ascii="仿宋_GB2312" w:hAnsi="黑体" w:eastAsia="仿宋_GB2312"/>
          <w:sz w:val="32"/>
          <w:szCs w:val="32"/>
          <w:u w:val="none"/>
        </w:rPr>
        <w:t>.</w:t>
      </w:r>
      <w:r>
        <w:rPr>
          <w:rFonts w:hint="eastAsia" w:ascii="仿宋_GB2312" w:hAnsi="黑体" w:eastAsia="仿宋_GB2312"/>
          <w:sz w:val="32"/>
          <w:szCs w:val="32"/>
          <w:u w:val="none"/>
        </w:rPr>
        <w:t>qcwlyss</w:t>
      </w:r>
      <w:r>
        <w:rPr>
          <w:rFonts w:ascii="仿宋_GB2312" w:hAnsi="黑体" w:eastAsia="仿宋_GB2312"/>
          <w:sz w:val="32"/>
          <w:szCs w:val="32"/>
          <w:u w:val="none"/>
        </w:rPr>
        <w:t>.com/</w:t>
      </w:r>
      <w:r>
        <w:rPr>
          <w:rFonts w:ascii="仿宋_GB2312" w:hAnsi="黑体" w:eastAsia="仿宋_GB2312"/>
          <w:sz w:val="32"/>
          <w:szCs w:val="32"/>
          <w:u w:val="none"/>
        </w:rPr>
        <w:fldChar w:fldCharType="end"/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ascii="仿宋_GB2312" w:hAnsi="微软雅黑" w:eastAsia="仿宋_GB2312"/>
          <w:sz w:val="32"/>
          <w:szCs w:val="32"/>
        </w:rPr>
        <w:t>以下简称</w:t>
      </w:r>
      <w:r>
        <w:rPr>
          <w:rFonts w:hint="eastAsia" w:ascii="仿宋_GB2312" w:hAnsi="微软雅黑" w:eastAsia="仿宋_GB2312"/>
          <w:sz w:val="32"/>
          <w:szCs w:val="32"/>
        </w:rPr>
        <w:t>“大赛平台”），按照报名系统要求填写相关资料并提交参赛作品，每件作品的</w:t>
      </w:r>
      <w:r>
        <w:rPr>
          <w:rFonts w:hint="eastAsia" w:ascii="仿宋_GB2312" w:hAnsi="仿宋" w:eastAsia="仿宋_GB2312"/>
          <w:sz w:val="32"/>
          <w:szCs w:val="32"/>
        </w:rPr>
        <w:t>指导老师限1人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480" w:firstLineChars="15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微软雅黑" w:eastAsia="仿宋_GB2312"/>
          <w:sz w:val="32"/>
          <w:szCs w:val="32"/>
        </w:rPr>
        <w:t>各高校指定赛事负责人登录大赛平台，点击</w:t>
      </w:r>
      <w:r>
        <w:rPr>
          <w:rFonts w:ascii="仿宋_GB2312" w:hAnsi="微软雅黑" w:eastAsia="仿宋_GB2312"/>
          <w:sz w:val="32"/>
          <w:szCs w:val="32"/>
        </w:rPr>
        <w:t>右上角</w:t>
      </w:r>
      <w:r>
        <w:rPr>
          <w:rFonts w:hint="eastAsia" w:ascii="仿宋_GB2312" w:hAnsi="黑体" w:eastAsia="仿宋_GB2312"/>
          <w:sz w:val="32"/>
          <w:szCs w:val="32"/>
        </w:rPr>
        <w:t>“成为管理员”，平台审核通过后，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/>
          <w:sz w:val="32"/>
          <w:szCs w:val="32"/>
        </w:rPr>
        <w:t>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/>
          <w:sz w:val="32"/>
          <w:szCs w:val="32"/>
        </w:rPr>
        <w:t>日前，遴选</w:t>
      </w:r>
      <w:r>
        <w:rPr>
          <w:rFonts w:hint="eastAsia" w:ascii="仿宋_GB2312" w:hAnsi="仿宋" w:eastAsia="仿宋_GB2312"/>
          <w:sz w:val="32"/>
          <w:szCs w:val="32"/>
        </w:rPr>
        <w:t>推荐</w:t>
      </w:r>
      <w:r>
        <w:rPr>
          <w:rFonts w:hint="eastAsia" w:ascii="仿宋_GB2312" w:hAnsi="微软雅黑" w:eastAsia="仿宋_GB2312"/>
          <w:sz w:val="32"/>
          <w:szCs w:val="32"/>
        </w:rPr>
        <w:t>本校1-2件</w:t>
      </w:r>
      <w:r>
        <w:rPr>
          <w:rFonts w:hint="eastAsia" w:ascii="仿宋_GB2312" w:hAnsi="仿宋" w:eastAsia="仿宋_GB2312"/>
          <w:sz w:val="32"/>
          <w:szCs w:val="32"/>
        </w:rPr>
        <w:t>作品参加省赛作品书面预审。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480" w:firstLineChars="15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作品书面预审（10月中旬）。我厅组织专家对各高校推荐的职业规划作品进行书面预审，以参赛者《个人职业生涯规划书》为主要评选内容，个人人才测评情况、简历作为辅助评选内容；以思想性、创新性、真实性为主要评比标准，淡化文学性、艺术性。入选作品要求步骤完整、表述清楚、分析到位、目标明确、层次分明、措施具体、切实可行，拟遴选65件优秀作品进入全省现场决赛（本科35项、高职30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现场总决赛（10月下旬）。晋级选手参加现场自我展示及答辩，由评委现场打分，确定成绩。参赛选手分本科组和高职组按抽签顺序依次上台陈述（PPT辅助）展示个人规划作品，时间5分钟（4分钟时将给予提醒，展示时间到即停止演示）；展示结束后，进入每人3分钟的答辩环节，包括评委提问（1-2个问题）、选手应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（一）参赛选手奖项：本科组设一等奖7名、二等奖10名、三等奖11名、优秀奖7名，高职组设一等奖6名、二等奖9名、三等奖9名、优秀奖6名。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（二）高校优秀组织奖：本科组7个、高职组6个。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（三）优秀指导教师奖：本科组7个、高职组6个。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获奖个人和单位由省教育厅颁发获奖证书。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六、活动规则及参赛作品要求说明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参赛者要根据自身实际情况，进行科学合理的职业生涯规划。参赛作品主题要结合个人实际与社会需求，从专业、职业、就业等方面进行个人职业规划设计。参赛者必须是参赛作品的原创作者，获奖作品如发现有抄袭、盗用或不符合规定及违反他人著作权的，即取消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（二）参赛作品要求（包含但不限于以下内容）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1.作品内容至少包括自我认知、自我定位、环境分析、短中长期职业生涯目标设定，以及实施行动计划制定、评估和反馈等。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2.作品内容完整、简明扼要，格式清晰，版面大方美观，创意新颖，能充分体现个性而不落俗套，能充分展现大学生朝气蓬勃的精神风貌，能充分展现职场新人的职业形象。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ascii="仿宋_GB2312" w:hAnsi="黑体" w:eastAsia="仿宋_GB2312"/>
          <w:sz w:val="32"/>
          <w:szCs w:val="32"/>
        </w:rPr>
        <w:t>所有参赛作品</w:t>
      </w:r>
      <w:r>
        <w:rPr>
          <w:rFonts w:hint="eastAsia" w:ascii="仿宋_GB2312" w:hAnsi="黑体" w:eastAsia="仿宋_GB2312"/>
          <w:sz w:val="32"/>
          <w:szCs w:val="32"/>
        </w:rPr>
        <w:t>须有扉页，扉页填写参赛者的真实姓名、性别、所在高校、院系、专业、年级、联系电话、电子邮箱、指导老师（限1人）及联系方式等相关信息。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4.作品可选用Word（*.doc文件）、PPT（*.ppt文件）、P</w:t>
      </w:r>
      <w:r>
        <w:rPr>
          <w:rFonts w:ascii="仿宋_GB2312" w:hAnsi="仿宋" w:eastAsia="仿宋_GB2312"/>
          <w:sz w:val="32"/>
          <w:szCs w:val="32"/>
        </w:rPr>
        <w:t>df</w:t>
      </w:r>
      <w:r>
        <w:rPr>
          <w:rFonts w:hint="eastAsia" w:ascii="仿宋_GB2312" w:hAnsi="仿宋" w:eastAsia="仿宋_GB2312"/>
          <w:sz w:val="32"/>
          <w:szCs w:val="32"/>
        </w:rPr>
        <w:t>（*.</w:t>
      </w:r>
      <w:r>
        <w:rPr>
          <w:rFonts w:ascii="仿宋_GB2312" w:hAnsi="仿宋" w:eastAsia="仿宋_GB2312"/>
          <w:sz w:val="32"/>
          <w:szCs w:val="32"/>
        </w:rPr>
        <w:t>pdf</w:t>
      </w:r>
      <w:r>
        <w:rPr>
          <w:rFonts w:hint="eastAsia" w:ascii="仿宋_GB2312" w:hAnsi="仿宋" w:eastAsia="仿宋_GB2312"/>
          <w:sz w:val="32"/>
          <w:szCs w:val="32"/>
        </w:rPr>
        <w:t>文件）进行制作提交。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七、赛事要求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（一）各高校要积极做好大赛的组织发动工作，结合学校实际，认真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" w:eastAsia="仿宋_GB2312"/>
          <w:sz w:val="32"/>
          <w:szCs w:val="32"/>
        </w:rPr>
        <w:t>本校初赛，开展内容丰富、形式多样的大学生职业规划教育和就业指导活动。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（二）汇总推荐参加省赛选手的信息，填写《第十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/>
          <w:sz w:val="32"/>
          <w:szCs w:val="32"/>
        </w:rPr>
        <w:t>届福建省大学生职业规划大赛作品申报表》（见附件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），提交word电子版和盖章后的扫描件到“大赛平台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,同时发送我厅学生工作处</w:t>
      </w:r>
      <w:r>
        <w:rPr>
          <w:rFonts w:hint="eastAsia" w:ascii="仿宋_GB2312" w:hAnsi="仿宋" w:eastAsia="仿宋_GB2312"/>
          <w:sz w:val="32"/>
          <w:szCs w:val="32"/>
        </w:rPr>
        <w:t>邮箱：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u w:val="none"/>
        </w:rPr>
        <w:t>jytxsc@126.com。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（三）本次大赛不收报名费、参赛费、培训费等任何费用，晋级全省决赛选手和带队指导教师的交通费、住宿费由所在高校承担。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</w:t>
      </w:r>
      <w:r>
        <w:rPr>
          <w:rFonts w:hint="eastAsia" w:ascii="仿宋_GB2312" w:hAnsi="微软雅黑" w:eastAsia="仿宋_GB2312"/>
          <w:sz w:val="32"/>
          <w:szCs w:val="32"/>
        </w:rPr>
        <w:t>大赛联系方式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1.省教育厅学生工作处：陈振，电话：0591-87091321、87844868（传真），邮箱：</w:t>
      </w:r>
      <w:r>
        <w:rPr>
          <w:rStyle w:val="6"/>
          <w:rFonts w:hint="eastAsia" w:ascii="仿宋_GB2312" w:hAnsi="仿宋" w:eastAsia="仿宋_GB2312"/>
          <w:color w:val="auto"/>
          <w:sz w:val="32"/>
          <w:szCs w:val="32"/>
          <w:u w:val="none"/>
        </w:rPr>
        <w:t>jytxsc@126.com。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2.福建省大学生职业规划大赛平台咨询：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龚老师   电话：18120967669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张老师   电话：13696886556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3.大赛工作</w:t>
      </w:r>
      <w:r>
        <w:rPr>
          <w:rFonts w:ascii="仿宋_GB2312" w:hAnsi="黑体" w:eastAsia="仿宋_GB2312"/>
          <w:sz w:val="32"/>
          <w:szCs w:val="32"/>
        </w:rPr>
        <w:t>QQ</w:t>
      </w:r>
      <w:r>
        <w:rPr>
          <w:rFonts w:hint="eastAsia" w:ascii="仿宋_GB2312" w:hAnsi="黑体" w:eastAsia="仿宋_GB2312"/>
          <w:sz w:val="32"/>
          <w:szCs w:val="32"/>
        </w:rPr>
        <w:t>群：1153147219。请参赛高校指定1名工作人员加入该群，便于赛事工作沟通及交流。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附件：1.第十三届福建省大学生职业规划大赛评分标准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1600" w:firstLineChars="5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2.福建省大学生职业规划大赛平台操作说明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1600" w:firstLineChars="500"/>
        <w:jc w:val="both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第十三届福建省大学生职业规划大赛参赛申报表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4480" w:firstLineChars="14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福建省教育厅办公室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4800" w:firstLineChars="1500"/>
        <w:jc w:val="both"/>
        <w:textAlignment w:val="auto"/>
        <w:outlineLvl w:val="9"/>
        <w:rPr>
          <w:rFonts w:ascii="仿宋_GB2312" w:hAnsi="微软雅黑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480" w:firstLine="60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（主动公开）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textAlignment w:val="auto"/>
        <w:outlineLvl w:val="9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附件1：</w:t>
      </w:r>
    </w:p>
    <w:p>
      <w:pPr>
        <w:snapToGrid w:val="0"/>
        <w:spacing w:line="540" w:lineRule="atLeas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第十三届福建省大学生职业规划大赛</w:t>
      </w:r>
    </w:p>
    <w:p>
      <w:pPr>
        <w:snapToGrid w:val="0"/>
        <w:spacing w:line="540" w:lineRule="atLeas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决赛评分标准</w:t>
      </w:r>
    </w:p>
    <w:p>
      <w:pPr>
        <w:rPr>
          <w:rFonts w:ascii="黑体" w:eastAsia="黑体"/>
          <w:sz w:val="22"/>
          <w:szCs w:val="22"/>
        </w:rPr>
      </w:pPr>
    </w:p>
    <w:p>
      <w:pPr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32"/>
          <w:szCs w:val="32"/>
        </w:rPr>
        <w:t>决赛第一阶段：《个人职业生涯规划书》评审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7"/>
        <w:tblW w:w="9492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评分要点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自我探索（25%）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1．全面梳理个人成长经历，并从中分析个人特质，挖掘个人生命主题。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 深入分析家庭与环境资源对个人的影响，并与个人选择相联系。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 充分探索学校资源，结合个人实践经历，从中探索未来发展方向。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 能结合科学测评工具，进一步认识自我。测评解读正确到位，有充分的事例验证。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5. 正确运用职业自我四维模型（兴趣、性格、能力、价值观）分析个人特质与职业选择的联系。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 通过个人反思、科学测评、他人评价、实践探索等多种方法探索自我，对自我的认识全面深入。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7. 自我探索后的职业方向应包含多种可能性和发展方向。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职业探索（25%）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1．了解社会的整体就业趋势，了解当前大学生的就业状况。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 对目标职业所处行业现状、前景及行业就业需求了解清晰。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3．熟悉目标职业的工作内容、工作环境、典型生活方式，了解目标职业的待遇、回馈及未来发展。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4．对目标职位的进入途径、胜任标准了解清晰，深入了解目标职业对生活的影响。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5．调查1-3个可能选择的职业，包含首选职业与备选职业，清楚不同职业的优势与挑战。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6．在探索过程中应用到文献检索、访谈、见习、实习等多种方法。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职业决策（15%）</w:t>
            </w:r>
          </w:p>
          <w:p>
            <w:pPr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1．职业目标决策要紧密结合自我探索与职业探索结果，分析个人优劣势及面临的机会和挑战，职业目标的选择过程阐述详尽，合乎逻辑。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2．首选职业目标制定要符合实际、可执行、可实现。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3．备选目标职业发展路径与首选目标发展路径要有一定相关性。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4．能够正确运用评估理论和决策模型做出决策。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计划路径（15%）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1．行动计划对保持个人优势、加强不足、提升竞争力有针对性、可操作性。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2．近期计划详尽清晰、可操作性强，中期计划清晰并具有灵活性，长期计划具有方向性。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3．职业发展路径充分考虑进入途径、胜任标准等探索结果，符合逻辑和现实，具有可操作性和竞争力。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评估调整（10%）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1．对行动计划和职业目标设定评估方案，如要达到什么标准，评估的要素是什么。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2．能够对行动计划实施过程和风险做出评估，并制定切实可行的调整方案。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3．调整方案的制定充分根据个人与环境的评估进行分析确定，充分考虑首选目标与备选目标间的联系和差异，具有可操作性。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作品撰写（10%）</w:t>
            </w: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1．作品内容完整，对自我和外部环境分析全面，提出自己的职业目标、发展路径和行动计划。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2．报告思路清晰、逻辑合理，能准确把握职业规划设计的核心与关键。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79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3．报告格式清晰，图文并茂，文字流畅。</w:t>
            </w:r>
          </w:p>
        </w:tc>
      </w:tr>
    </w:tbl>
    <w:p>
      <w:pPr>
        <w:autoSpaceDE/>
        <w:autoSpaceDN/>
        <w:adjustRightInd/>
        <w:spacing w:line="620" w:lineRule="exact"/>
        <w:jc w:val="both"/>
        <w:rPr>
          <w:rFonts w:ascii="黑体" w:eastAsia="黑体"/>
          <w:sz w:val="32"/>
          <w:szCs w:val="32"/>
        </w:rPr>
      </w:pPr>
    </w:p>
    <w:p>
      <w:pPr>
        <w:autoSpaceDE/>
        <w:autoSpaceDN/>
        <w:adjustRightInd/>
        <w:spacing w:line="62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决赛第二阶段：现场自我展示及答辩</w:t>
      </w:r>
      <w:r>
        <w:rPr>
          <w:rFonts w:hint="eastAsia" w:ascii="黑体" w:eastAsia="黑体"/>
          <w:sz w:val="28"/>
          <w:szCs w:val="32"/>
        </w:rPr>
        <w:t>（占总决赛成绩50%）</w:t>
      </w:r>
    </w:p>
    <w:tbl>
      <w:tblPr>
        <w:tblStyle w:val="7"/>
        <w:tblW w:w="9492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22"/>
        <w:gridCol w:w="6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评分要素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评分要点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PPT展示（70%）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作品陈述（15%）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1．内容完整，对自我和外部环境分析全面，提出自己的职业目标、发展路径和行动计划。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2．思路清晰、逻辑合理，能准确把握职业规划设计的核心与关键。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整体逻辑（15%）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展示内容前后逻辑紧密，环节紧凑，设计合理。答辩内容与展示内容具有整体一致性，条理清晰，结论明确。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时间把控（10%）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在规定时间内完成陈述回答评委提问，无拖延时间行为。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PPT设计简洁大方，重点突出，简明扼要，能够精确提炼职业规划项目要点。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语言表达（15%）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语言运用准确、简洁、流畅而富有逻辑的严密性。</w:t>
            </w:r>
            <w:r>
              <w:rPr>
                <w:rFonts w:hint="eastAsia" w:ascii="仿宋_GB2312" w:hAnsi="宋体" w:eastAsia="仿宋_GB2312" w:cs="宋体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szCs w:val="21"/>
              </w:rPr>
              <w:t>表达具有说服力和感染力。语速适中，重点突出。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现场答辩（30%）</w:t>
            </w: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回答内容准确、精炼，重点突出、切合题意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回答内容真实可信，运用事实论据，论述有说服力。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答题过程条理清晰，层次分明，结论明确。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回答能力（15%）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能正确理解评委提问，作出有针对性的回答。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应变能力强，能够灵活的、创造性的作答。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答题过程流畅、无明显停顿。</w:t>
            </w:r>
          </w:p>
        </w:tc>
      </w:tr>
    </w:tbl>
    <w:p>
      <w:pPr>
        <w:snapToGrid w:val="0"/>
        <w:spacing w:line="540" w:lineRule="atLeast"/>
        <w:rPr>
          <w:rFonts w:ascii="黑体" w:hAnsi="黑体" w:eastAsia="黑体" w:cs="黑体"/>
          <w:b/>
          <w:sz w:val="32"/>
          <w:szCs w:val="32"/>
        </w:rPr>
      </w:pPr>
      <w:r>
        <w:rPr>
          <w:rFonts w:ascii="仿宋_GB2312" w:hAnsi="微软雅黑" w:eastAsia="仿宋_GB2312"/>
          <w:b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附件2：</w:t>
      </w:r>
    </w:p>
    <w:p>
      <w:pPr>
        <w:autoSpaceDE/>
        <w:autoSpaceDN/>
        <w:snapToGrid w:val="0"/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福建省大学生职业规划大赛平台操作说明</w:t>
      </w:r>
    </w:p>
    <w:p>
      <w:pPr>
        <w:autoSpaceDE/>
        <w:autoSpaceDN/>
        <w:snapToGrid w:val="0"/>
        <w:spacing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【学生注册流程】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1、进入大赛平台</w:t>
      </w:r>
      <w:r>
        <w:fldChar w:fldCharType="begin"/>
      </w:r>
      <w:r>
        <w:instrText xml:space="preserve"> HYPERLINK "http://www.qcwlyss.com" \t "_blank" </w:instrText>
      </w:r>
      <w:r>
        <w:fldChar w:fldCharType="separate"/>
      </w:r>
      <w:r>
        <w:rPr>
          <w:rFonts w:hint="eastAsia" w:ascii="仿宋_GB2312" w:hAnsi="黑体" w:eastAsia="仿宋_GB2312"/>
          <w:sz w:val="28"/>
          <w:szCs w:val="28"/>
        </w:rPr>
        <w:t>http://www.qcwlyss.com</w:t>
      </w:r>
      <w:r>
        <w:rPr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sz w:val="28"/>
          <w:szCs w:val="28"/>
        </w:rPr>
        <w:t>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2、选择【第十三届福建省大学生职业规划大赛】进入报名；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3、请点击右上角-【注册/登录】进行【注册学生帐号】；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4、注册完后，选择登录身份-【参赛团队】登录，完善个人信息；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5、等待本校赛事管理员授权提交省赛项目；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6、授权通过后点击【提交省赛项目】，按照大赛要求进行提交项目；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 xml:space="preserve"> 7、提交完成后，可以通过【我的项目】菜单查看项目审核情况。</w:t>
      </w:r>
    </w:p>
    <w:p>
      <w:pPr>
        <w:autoSpaceDE/>
        <w:autoSpaceDN/>
        <w:snapToGrid w:val="0"/>
        <w:spacing w:line="62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ascii="黑体" w:hAnsi="黑体" w:eastAsia="黑体"/>
          <w:sz w:val="32"/>
          <w:szCs w:val="32"/>
        </w:rPr>
        <w:t>高校赛事</w:t>
      </w:r>
      <w:r>
        <w:rPr>
          <w:rFonts w:hint="eastAsia" w:ascii="黑体" w:hAnsi="黑体" w:eastAsia="黑体"/>
          <w:sz w:val="32"/>
          <w:szCs w:val="32"/>
        </w:rPr>
        <w:t>管理员</w:t>
      </w:r>
      <w:r>
        <w:rPr>
          <w:rFonts w:ascii="黑体" w:hAnsi="黑体" w:eastAsia="黑体"/>
          <w:sz w:val="32"/>
          <w:szCs w:val="32"/>
        </w:rPr>
        <w:t>注册流程</w:t>
      </w:r>
      <w:r>
        <w:rPr>
          <w:rFonts w:hint="eastAsia" w:ascii="黑体" w:hAnsi="黑体" w:eastAsia="黑体"/>
          <w:sz w:val="32"/>
          <w:szCs w:val="32"/>
        </w:rPr>
        <w:t>】</w:t>
      </w:r>
    </w:p>
    <w:p>
      <w:pPr>
        <w:widowControl/>
        <w:autoSpaceDE/>
        <w:autoSpaceDN/>
        <w:adjustRightInd/>
        <w:spacing w:line="540" w:lineRule="exact"/>
        <w:jc w:val="both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1、进入大赛平台</w:t>
      </w:r>
      <w:r>
        <w:fldChar w:fldCharType="begin"/>
      </w:r>
      <w:r>
        <w:instrText xml:space="preserve"> HYPERLINK "http://www.qcwlyss.com" \t "_blank" </w:instrText>
      </w:r>
      <w:r>
        <w:fldChar w:fldCharType="separate"/>
      </w:r>
      <w:r>
        <w:rPr>
          <w:rFonts w:hint="eastAsia" w:ascii="仿宋_GB2312" w:hAnsi="黑体" w:eastAsia="仿宋_GB2312"/>
          <w:sz w:val="28"/>
          <w:szCs w:val="28"/>
        </w:rPr>
        <w:t>http://www.qcwlyss.com</w:t>
      </w:r>
      <w:r>
        <w:rPr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sz w:val="28"/>
          <w:szCs w:val="28"/>
        </w:rPr>
        <w:t>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2、选择【第十三届福建省大学生职业规划大赛】进行申请；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3、请点击右上角-【成为管理员】选择赛事填写信息进行提交申请；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4、等待省管理员审核后，查收包含管理员帐号密码的手机短信；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5、再次进入赛事网站，点击右上角-【注册/登录】-选择登录身份-【赛事管理员】进行登录；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6、选择【授权/报送】-【报送管理】，输入学生手机号进行授权，已授权的学生可以提交省赛项目；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7、待学生登录平台提交省赛项目后，在【授权/报送】-【报送管理】进行【审核】并【报送】；</w:t>
      </w:r>
      <w:r>
        <w:rPr>
          <w:rFonts w:hint="eastAsia" w:ascii="仿宋_GB2312" w:hAnsi="黑体" w:eastAsia="仿宋_GB2312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sz w:val="28"/>
          <w:szCs w:val="28"/>
        </w:rPr>
        <w:t>8、校管理员可以在【材料】-【材料提交】进行提交“第十三届福建省大学生职业规划大赛作品申报表”。</w:t>
      </w:r>
    </w:p>
    <w:p>
      <w:pPr>
        <w:snapToGrid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587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50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第十三届福建省大学生职业规划大赛参赛申报表</w:t>
      </w:r>
    </w:p>
    <w:p>
      <w:pPr>
        <w:jc w:val="both"/>
        <w:rPr>
          <w:rFonts w:ascii="仿宋_GB2312" w:hAnsi="仿宋" w:eastAsia="仿宋_GB2312"/>
          <w:sz w:val="32"/>
          <w:szCs w:val="32"/>
        </w:rPr>
      </w:pPr>
    </w:p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高校名称：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（盖章）                    填表时间：2020年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tbl>
      <w:tblPr>
        <w:tblStyle w:val="8"/>
        <w:tblW w:w="145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10"/>
        <w:gridCol w:w="1530"/>
        <w:gridCol w:w="2432"/>
        <w:gridCol w:w="718"/>
        <w:gridCol w:w="975"/>
        <w:gridCol w:w="1365"/>
        <w:gridCol w:w="1194"/>
        <w:gridCol w:w="1341"/>
        <w:gridCol w:w="13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参赛作品名称</w:t>
            </w: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ind w:left="-74" w:firstLine="74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71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年级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院系</w:t>
            </w:r>
          </w:p>
        </w:tc>
        <w:tc>
          <w:tcPr>
            <w:tcW w:w="1194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</w:t>
            </w: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71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194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71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5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2432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718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194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41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</w:rPr>
            </w:pPr>
          </w:p>
        </w:tc>
      </w:tr>
    </w:tbl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</w:t>
      </w:r>
    </w:p>
    <w:p>
      <w:pPr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填报人：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 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</w:p>
    <w:p>
      <w:pPr>
        <w:snapToGrid w:val="0"/>
        <w:spacing w:line="360" w:lineRule="auto"/>
        <w:jc w:val="both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440" w:right="1701" w:bottom="1440" w:left="1701" w:header="851" w:footer="992" w:gutter="0"/>
          <w:pgNumType w:fmt="numberInDash"/>
          <w:cols w:space="720" w:num="1"/>
          <w:docGrid w:type="lines" w:linePitch="322" w:charSpace="0"/>
        </w:sect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00" w:lineRule="exact"/>
        <w:ind w:firstLine="5440" w:firstLineChars="1700"/>
        <w:jc w:val="both"/>
        <w:rPr>
          <w:rFonts w:ascii="仿宋_GB2312" w:hAnsi="仿宋" w:eastAsia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>
      <w:bookmarkStart w:id="1" w:name="_GoBack"/>
      <w:bookmarkEnd w:id="1"/>
    </w:p>
    <w:p/>
    <w:p/>
    <w:p>
      <w:pPr>
        <w:pStyle w:val="2"/>
        <w:ind w:left="0" w:leftChars="0" w:firstLine="0" w:firstLineChars="0"/>
      </w:pPr>
    </w:p>
    <w:p/>
    <w:p/>
    <w:p/>
    <w:p/>
    <w:p>
      <w:pPr>
        <w:adjustRightInd w:val="0"/>
        <w:snapToGrid w:val="0"/>
        <w:spacing w:line="560" w:lineRule="atLeast"/>
        <w:ind w:right="48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560070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5pt;margin-top:20.1pt;height:0.05pt;width:441pt;z-index:251693056;mso-width-relative:page;mso-height-relative:page;" filled="f" stroked="t" coordsize="21600,21600" o:gfxdata="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8Yya1AAAAAcBAAAPAAAAAAAAAAEAIAAAACIAAABkcnMvZG93bnJldi54bWxQ&#10;SwECFAAUAAAACACHTuJARoBh4PsBAADOAwAADgAAAAAAAAABACAAAAAjAQAAZHJzL2Uyb0RvYy54&#10;bWxQSwUGAAAAAAYABgBZAQAAkAUAAAAA&#10;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ind w:left="1120" w:hanging="1120" w:hanging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抄送：省人社厅，中国海峡人才市场</w:t>
      </w:r>
    </w:p>
    <w:p>
      <w:pPr>
        <w:adjustRightInd w:val="0"/>
        <w:snapToGrid w:val="0"/>
        <w:spacing w:line="540" w:lineRule="atLeast"/>
        <w:ind w:firstLine="280" w:firstLineChars="100"/>
        <w:rPr>
          <w:rFonts w:hint="eastAsia" w:ascii="仿宋_GB2312" w:hAnsi="仿宋" w:eastAsia="仿宋_GB2312" w:cs="仿宋"/>
          <w:w w:val="95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60070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952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.75pt;height:0.05pt;width:441pt;z-index:251691008;mso-width-relative:page;mso-height-relative:page;" filled="f" stroked="t" coordsize="21600,21600" o:gfxdata="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0LobbQAAAABAEAAA8AAAAAAAAAAQAgAAAAIgAAAGRycy9kb3ducmV2LnhtbFBLAQIU&#10;ABQAAAAIAIdO4kApTJfY+wEAAM0DAAAOAAAAAAAAAAEAIAAAAB8BAABkcnMvZTJvRG9jLnhtbFBL&#10;BQYAAAAABgAGAFkBAACMBQAAAAA=&#10;">
                <v:fill on="f" focussize="0,0"/>
                <v:stroke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抄送"/>
      <w:bookmarkEnd w:id="0"/>
      <w:r>
        <w:rPr>
          <w:rFonts w:hint="eastAsia" w:ascii="仿宋_GB2312" w:eastAsia="仿宋_GB2312"/>
          <w:sz w:val="28"/>
          <w:szCs w:val="28"/>
        </w:rPr>
        <w:t xml:space="preserve">福建省教育厅办公室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adjustRightInd w:val="0"/>
        <w:snapToGrid w:val="0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600700" cy="635"/>
                <wp:effectExtent l="0" t="9525" r="7620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4.05pt;height:0.05pt;width:441pt;z-index:251692032;mso-width-relative:page;mso-height-relative:page;" filled="f" stroked="t" coordsize="21600,21600" o:gfxdata="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jYWtfRAAAABAEAAA8AAAAAAAAAAQAgAAAAIgAAAGRycy9kb3ducmV2LnhtbFBLAQIU&#10;ABQAAAAIAIdO4kA0RXwH+gEAAM4DAAAOAAAAAAAAAAEAIAAAACA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5.05pt;mso-position-horizontal:outside;mso-position-horizontal-relative:margin;mso-wrap-style:none;z-index:251691008;mso-width-relative:page;mso-height-relative:page;" filled="f" stroked="f" coordsize="21600,21600" o:gfxdata="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D6kd0QAAAAMBAAAPAAAAAAAA&#10;AAEAIAAAACIAAABkcnMvZG93bnJldi54bWxQSwECFAAUAAAACACHTuJAsgR0+hkCAAASBAAADgAA&#10;AAAAAAABACAAAAAg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084F"/>
    <w:rsid w:val="0A5376A4"/>
    <w:rsid w:val="0C4C7162"/>
    <w:rsid w:val="17152F35"/>
    <w:rsid w:val="1A5377FD"/>
    <w:rsid w:val="1D2C7678"/>
    <w:rsid w:val="21ED4FF5"/>
    <w:rsid w:val="22E943F6"/>
    <w:rsid w:val="249B1F37"/>
    <w:rsid w:val="253F21EF"/>
    <w:rsid w:val="259649DC"/>
    <w:rsid w:val="2C7D02AF"/>
    <w:rsid w:val="2F70508D"/>
    <w:rsid w:val="303F53C8"/>
    <w:rsid w:val="34D17087"/>
    <w:rsid w:val="36897310"/>
    <w:rsid w:val="3A025EE3"/>
    <w:rsid w:val="47207DA9"/>
    <w:rsid w:val="480A71E8"/>
    <w:rsid w:val="49817BCF"/>
    <w:rsid w:val="4D533D0F"/>
    <w:rsid w:val="574C2787"/>
    <w:rsid w:val="58F46827"/>
    <w:rsid w:val="5F0A7A32"/>
    <w:rsid w:val="680113DD"/>
    <w:rsid w:val="6BC1115E"/>
    <w:rsid w:val="6DA36719"/>
    <w:rsid w:val="72B8159E"/>
    <w:rsid w:val="779C189B"/>
    <w:rsid w:val="7A0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2020-07-03T04:48:00Z</cp:lastPrinted>
  <dcterms:modified xsi:type="dcterms:W3CDTF">2020-09-09T09:58:55Z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