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FF0000"/>
          <w:sz w:val="32"/>
          <w:szCs w:val="32"/>
        </w:rPr>
      </w:pPr>
      <w:r>
        <w:rPr>
          <w:rFonts w:hint="eastAsia" w:asciiTheme="majorEastAsia" w:hAnsiTheme="majorEastAsia" w:eastAsiaTheme="majorEastAsia" w:cstheme="majorEastAsia"/>
          <w:b/>
          <w:bCs/>
          <w:color w:val="FF0000"/>
          <w:sz w:val="32"/>
          <w:szCs w:val="32"/>
        </w:rPr>
        <w:t>2021年度在榕高校大学生</w:t>
      </w:r>
    </w:p>
    <w:p>
      <w:pPr>
        <w:jc w:val="center"/>
        <w:rPr>
          <w:rFonts w:hint="eastAsia" w:asciiTheme="majorEastAsia" w:hAnsiTheme="majorEastAsia" w:eastAsiaTheme="majorEastAsia" w:cstheme="majorEastAsia"/>
          <w:b/>
          <w:bCs/>
          <w:color w:val="FF0000"/>
          <w:sz w:val="32"/>
          <w:szCs w:val="32"/>
        </w:rPr>
      </w:pPr>
      <w:r>
        <w:rPr>
          <w:rFonts w:hint="eastAsia" w:asciiTheme="majorEastAsia" w:hAnsiTheme="majorEastAsia" w:eastAsiaTheme="majorEastAsia" w:cstheme="majorEastAsia"/>
          <w:b/>
          <w:bCs/>
          <w:color w:val="FF0000"/>
          <w:sz w:val="32"/>
          <w:szCs w:val="32"/>
        </w:rPr>
        <w:t>参加城乡居民医保指南</w:t>
      </w:r>
      <w:bookmarkStart w:id="0" w:name="_GoBack"/>
      <w:bookmarkEnd w:id="0"/>
    </w:p>
    <w:p>
      <w:pPr>
        <w:pStyle w:val="9"/>
        <w:jc w:val="center"/>
        <w:rPr>
          <w:szCs w:val="21"/>
          <w:highlight w:val="none"/>
        </w:rPr>
      </w:pPr>
      <w:r>
        <w:rPr>
          <w:rFonts w:hint="eastAsia"/>
          <w:szCs w:val="21"/>
          <w:highlight w:val="none"/>
        </w:rPr>
        <w:t>（2020年9月）</w:t>
      </w:r>
    </w:p>
    <w:p>
      <w:pPr>
        <w:widowControl/>
        <w:spacing w:line="240" w:lineRule="exact"/>
        <w:ind w:firstLine="422" w:firstLineChars="200"/>
        <w:jc w:val="left"/>
        <w:outlineLvl w:val="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一、参保对象</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在榕各类全日制普通高等院校中接受普通高等学历教育的全日制本专科学生、全日制研究生（包括侨、港、澳、台大学生）。</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二、筹资标准</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城乡居民基本医疗保险实行个人缴费和政府补助相结合，我市政府补助不低于国家和省确定的标准，并逐年提高。家庭经济困难大学生个人缴费部分按学校隶属关系由同级财政补助。</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2021年度我市城乡居民基本医保个人缴费标准为310元/人，</w:t>
      </w:r>
      <w:r>
        <w:rPr>
          <w:rFonts w:asciiTheme="minorEastAsia" w:hAnsiTheme="minorEastAsia" w:eastAsiaTheme="minorEastAsia" w:cstheme="minorEastAsia"/>
          <w:highlight w:val="none"/>
        </w:rPr>
        <w:t>财政补助标准为每人每年620元。</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lang w:eastAsia="zh-CN"/>
        </w:rPr>
      </w:pPr>
      <w:r>
        <w:rPr>
          <w:rFonts w:hint="eastAsia" w:asciiTheme="minorEastAsia" w:hAnsiTheme="minorEastAsia" w:eastAsiaTheme="minorEastAsia" w:cstheme="minorEastAsia"/>
          <w:highlight w:val="none"/>
        </w:rPr>
        <w:t>大学新生按参保登记时间确认保险关系，当年9月至12月不缴费，只缴纳次年度的保险费，当年9月至次年12月发生的医疗费用，已参加城乡居民医保的按规定享受城乡居民医保待遇</w:t>
      </w:r>
      <w:r>
        <w:rPr>
          <w:rFonts w:hint="eastAsia" w:asciiTheme="minorEastAsia" w:hAnsiTheme="minorEastAsia" w:eastAsiaTheme="minorEastAsia" w:cstheme="minorEastAsia"/>
          <w:highlight w:val="none"/>
          <w:lang w:eastAsia="zh-CN"/>
        </w:rPr>
        <w:t>。</w:t>
      </w:r>
    </w:p>
    <w:p>
      <w:pPr>
        <w:widowControl/>
        <w:spacing w:line="240" w:lineRule="exact"/>
        <w:ind w:firstLine="420" w:firstLineChars="200"/>
        <w:jc w:val="left"/>
        <w:outlineLvl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大学生原则上应在学籍地参加居民医保。若大学生为建档立卡贫困人口，可以选择在建档立卡贫困人口身份认定地参保。不允许重复参保，不允许重复享受医保待遇。</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三、参保方式</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每年9月1日至12月31日为下一年度城乡居民医保参保缴费期。</w:t>
      </w:r>
    </w:p>
    <w:p>
      <w:pPr>
        <w:widowControl/>
        <w:spacing w:line="24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（一）参保流程</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参保登记由所在学校审核后统一向医保中心申报，办理城乡居民医保参保登记后；在参保缴费期间，学生及时通过税务部门渠道进行缴费。</w:t>
      </w:r>
    </w:p>
    <w:p>
      <w:pPr>
        <w:widowControl/>
        <w:spacing w:line="250" w:lineRule="exact"/>
        <w:ind w:firstLine="420"/>
        <w:jc w:val="left"/>
        <w:outlineLvl w:val="0"/>
        <w:rPr>
          <w:rFonts w:asciiTheme="minorEastAsia" w:hAnsiTheme="minorEastAsia" w:eastAsiaTheme="minorEastAsia" w:cstheme="minorEastAsia"/>
          <w:b/>
          <w:bCs/>
          <w:kern w:val="0"/>
          <w:sz w:val="22"/>
          <w:szCs w:val="22"/>
          <w:highlight w:val="none"/>
        </w:rPr>
      </w:pPr>
      <w:r>
        <w:rPr>
          <w:rFonts w:hint="eastAsia" w:asciiTheme="minorEastAsia" w:hAnsiTheme="minorEastAsia" w:eastAsiaTheme="minorEastAsia" w:cstheme="minorEastAsia"/>
          <w:b/>
          <w:bCs/>
          <w:kern w:val="0"/>
          <w:sz w:val="22"/>
          <w:szCs w:val="22"/>
          <w:highlight w:val="none"/>
        </w:rPr>
        <w:t>（二）逾期补缴规定</w:t>
      </w:r>
    </w:p>
    <w:p>
      <w:pPr>
        <w:widowControl/>
        <w:spacing w:line="250" w:lineRule="exact"/>
        <w:ind w:firstLine="420"/>
        <w:jc w:val="left"/>
        <w:outlineLvl w:val="0"/>
        <w:rPr>
          <w:rFonts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对超出规定时间办理参保缴费的学生，允许其参保缴费但设有60天的等待期，等待期过后再按规定享受相应的医疗保险待遇，缴费之前和等待期期间发生的医疗费用医保基金不予支付。</w:t>
      </w:r>
    </w:p>
    <w:p>
      <w:pPr>
        <w:widowControl/>
        <w:spacing w:line="250" w:lineRule="exact"/>
        <w:ind w:firstLine="42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sz w:val="22"/>
          <w:szCs w:val="22"/>
          <w:highlight w:val="none"/>
        </w:rPr>
        <w:t>2021年1月1日至6月30日补缴费人员，个人缴费标准为310元； 2021年7月1日之后补缴费人员，参保人应缴金额为个人缴费部分和当年度财政补助部分之和即930元。</w:t>
      </w:r>
    </w:p>
    <w:p>
      <w:pPr>
        <w:widowControl/>
        <w:numPr>
          <w:ilvl w:val="0"/>
          <w:numId w:val="1"/>
        </w:numPr>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缴费方式</w:t>
      </w:r>
    </w:p>
    <w:p>
      <w:pPr>
        <w:widowControl/>
        <w:spacing w:line="250" w:lineRule="exact"/>
        <w:ind w:firstLine="42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kern w:val="0"/>
          <w:sz w:val="22"/>
          <w:szCs w:val="22"/>
          <w:highlight w:val="none"/>
        </w:rPr>
        <w:t>城乡居民医保参保登记后，通过以下渠道缴费:</w:t>
      </w:r>
    </w:p>
    <w:p>
      <w:pPr>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t>1、</w:t>
      </w:r>
      <w:r>
        <w:rPr>
          <w:rFonts w:hint="eastAsia" w:asciiTheme="minorEastAsia" w:hAnsiTheme="minorEastAsia" w:eastAsiaTheme="minorEastAsia" w:cstheme="minorEastAsia"/>
          <w:highlight w:val="none"/>
        </w:rPr>
        <w:t>移动缴费。下载闽税通、云闪付APP，关注“福建税务”、“银联福建”微信公众号，或通过银联扫码支付缴费。2</w:t>
      </w:r>
      <w:r>
        <w:rPr>
          <w:rFonts w:hint="eastAsia" w:asciiTheme="minorEastAsia" w:hAnsiTheme="minorEastAsia" w:eastAsiaTheme="minorEastAsia" w:cstheme="minorEastAsia"/>
          <w:highlight w:val="none"/>
          <w:lang w:eastAsia="zh-CN"/>
        </w:rPr>
        <w:t>、</w:t>
      </w:r>
      <w:r>
        <w:rPr>
          <w:rFonts w:hint="eastAsia" w:asciiTheme="minorEastAsia" w:hAnsiTheme="minorEastAsia" w:eastAsiaTheme="minorEastAsia" w:cstheme="minorEastAsia"/>
          <w:highlight w:val="none"/>
        </w:rPr>
        <w:t xml:space="preserve"> 农村普惠金融服务点缴费。持相应的银行卡到农村普惠金融服务点进行刷卡缴费。</w:t>
      </w:r>
      <w:r>
        <w:rPr>
          <w:rFonts w:hint="eastAsia" w:asciiTheme="minorEastAsia" w:hAnsiTheme="minorEastAsia" w:eastAsiaTheme="minorEastAsia" w:cstheme="minorEastAsia"/>
          <w:highlight w:val="none"/>
          <w:lang w:val="en-US" w:eastAsia="zh-CN"/>
        </w:rPr>
        <w:t>3、</w:t>
      </w:r>
      <w:r>
        <w:rPr>
          <w:rFonts w:hint="eastAsia" w:asciiTheme="minorEastAsia" w:hAnsiTheme="minorEastAsia" w:eastAsiaTheme="minorEastAsia" w:cstheme="minorEastAsia"/>
          <w:highlight w:val="none"/>
        </w:rPr>
        <w:t>药店代办缴费。我市职工医保参保人员持社保卡在福州市定点零售药店使用本人个人账户资金为亲属续保缴费。</w:t>
      </w:r>
      <w:r>
        <w:rPr>
          <w:rFonts w:hint="eastAsia" w:asciiTheme="minorEastAsia" w:hAnsiTheme="minorEastAsia" w:eastAsiaTheme="minorEastAsia" w:cstheme="minorEastAsia"/>
          <w:highlight w:val="none"/>
          <w:lang w:val="en-US" w:eastAsia="zh-CN"/>
        </w:rPr>
        <w:t>4</w:t>
      </w:r>
      <w:r>
        <w:rPr>
          <w:rFonts w:hint="eastAsia" w:asciiTheme="minorEastAsia" w:hAnsiTheme="minorEastAsia" w:eastAsiaTheme="minorEastAsia" w:cstheme="minorEastAsia"/>
          <w:highlight w:val="none"/>
        </w:rPr>
        <w:t>、上门申报缴费。前往税务机关办税服务大厅办理缴费。</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五、医疗保险待遇</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（一）普通门诊补偿待遇</w:t>
      </w:r>
    </w:p>
    <w:tbl>
      <w:tblPr>
        <w:tblStyle w:val="7"/>
        <w:tblW w:w="4891" w:type="dxa"/>
        <w:jc w:val="center"/>
        <w:tblInd w:w="0" w:type="dxa"/>
        <w:tblLayout w:type="fixed"/>
        <w:tblCellMar>
          <w:top w:w="15" w:type="dxa"/>
          <w:left w:w="15" w:type="dxa"/>
          <w:bottom w:w="15" w:type="dxa"/>
          <w:right w:w="15" w:type="dxa"/>
        </w:tblCellMar>
      </w:tblPr>
      <w:tblGrid>
        <w:gridCol w:w="1201"/>
        <w:gridCol w:w="2352"/>
        <w:gridCol w:w="1338"/>
      </w:tblGrid>
      <w:tr>
        <w:tblPrEx>
          <w:tblLayout w:type="fixed"/>
          <w:tblCellMar>
            <w:top w:w="15" w:type="dxa"/>
            <w:left w:w="15" w:type="dxa"/>
            <w:bottom w:w="15" w:type="dxa"/>
            <w:right w:w="15" w:type="dxa"/>
          </w:tblCellMar>
        </w:tblPrEx>
        <w:trPr>
          <w:trHeight w:val="688" w:hRule="atLeast"/>
          <w:jc w:val="center"/>
        </w:trPr>
        <w:tc>
          <w:tcPr>
            <w:tcW w:w="3553" w:type="dxa"/>
            <w:gridSpan w:val="2"/>
            <w:tcBorders>
              <w:top w:val="single" w:color="auto" w:sz="12" w:space="0"/>
              <w:left w:val="single" w:color="auto" w:sz="12" w:space="0"/>
              <w:bottom w:val="single" w:color="000000" w:sz="4" w:space="0"/>
              <w:right w:val="single" w:color="000000" w:sz="4" w:space="0"/>
              <w:tl2br w:val="single" w:color="000000" w:sz="4" w:space="0"/>
            </w:tcBorders>
            <w:vAlign w:val="center"/>
          </w:tcPr>
          <w:p>
            <w:pPr>
              <w:widowControl/>
              <w:spacing w:line="250" w:lineRule="exact"/>
              <w:ind w:firstLine="1680" w:firstLineChars="8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医疗机构</w:t>
            </w:r>
          </w:p>
          <w:p>
            <w:pPr>
              <w:widowControl/>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报销政策</w:t>
            </w:r>
          </w:p>
        </w:tc>
        <w:tc>
          <w:tcPr>
            <w:tcW w:w="1338" w:type="dxa"/>
            <w:tcBorders>
              <w:top w:val="single" w:color="auto" w:sz="12" w:space="0"/>
              <w:left w:val="single" w:color="000000" w:sz="4" w:space="0"/>
              <w:bottom w:val="single" w:color="000000" w:sz="4" w:space="0"/>
              <w:right w:val="single" w:color="auto" w:sz="12" w:space="0"/>
            </w:tcBorders>
            <w:vAlign w:val="center"/>
          </w:tcPr>
          <w:p>
            <w:pPr>
              <w:widowControl/>
              <w:spacing w:line="25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福州市医保定点医疗机构</w:t>
            </w:r>
          </w:p>
        </w:tc>
      </w:tr>
      <w:tr>
        <w:tblPrEx>
          <w:tblLayout w:type="fixed"/>
          <w:tblCellMar>
            <w:top w:w="15" w:type="dxa"/>
            <w:left w:w="15" w:type="dxa"/>
            <w:bottom w:w="15" w:type="dxa"/>
            <w:right w:w="15" w:type="dxa"/>
          </w:tblCellMar>
        </w:tblPrEx>
        <w:trPr>
          <w:trHeight w:val="289" w:hRule="atLeast"/>
          <w:jc w:val="center"/>
        </w:trPr>
        <w:tc>
          <w:tcPr>
            <w:tcW w:w="1201" w:type="dxa"/>
            <w:vMerge w:val="restart"/>
            <w:tcBorders>
              <w:top w:val="single" w:color="000000" w:sz="4" w:space="0"/>
              <w:left w:val="single" w:color="auto" w:sz="12" w:space="0"/>
              <w:bottom w:val="single" w:color="000000" w:sz="4" w:space="0"/>
              <w:right w:val="single" w:color="000000" w:sz="4" w:space="0"/>
            </w:tcBorders>
            <w:vAlign w:val="center"/>
          </w:tcPr>
          <w:p>
            <w:pPr>
              <w:widowControl/>
              <w:spacing w:line="25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基本医保范围内费用</w:t>
            </w:r>
          </w:p>
        </w:tc>
        <w:tc>
          <w:tcPr>
            <w:tcW w:w="2352" w:type="dxa"/>
            <w:tcBorders>
              <w:top w:val="single" w:color="000000" w:sz="4" w:space="0"/>
              <w:left w:val="single" w:color="000000" w:sz="4" w:space="0"/>
              <w:bottom w:val="single" w:color="000000" w:sz="4" w:space="0"/>
              <w:right w:val="single" w:color="000000" w:sz="4" w:space="0"/>
            </w:tcBorders>
            <w:vAlign w:val="center"/>
          </w:tcPr>
          <w:p>
            <w:pPr>
              <w:widowControl/>
              <w:spacing w:line="25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起付线(每次就诊)</w:t>
            </w:r>
          </w:p>
        </w:tc>
        <w:tc>
          <w:tcPr>
            <w:tcW w:w="1338" w:type="dxa"/>
            <w:tcBorders>
              <w:top w:val="single" w:color="000000" w:sz="4" w:space="0"/>
              <w:left w:val="single" w:color="000000" w:sz="4" w:space="0"/>
              <w:bottom w:val="single" w:color="000000" w:sz="4" w:space="0"/>
              <w:right w:val="single" w:color="auto" w:sz="12" w:space="0"/>
            </w:tcBorders>
            <w:vAlign w:val="center"/>
          </w:tcPr>
          <w:p>
            <w:pPr>
              <w:widowControl/>
              <w:spacing w:line="250" w:lineRule="exact"/>
              <w:ind w:firstLine="420" w:firstLineChars="20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0元</w:t>
            </w:r>
          </w:p>
        </w:tc>
      </w:tr>
      <w:tr>
        <w:tblPrEx>
          <w:tblLayout w:type="fixed"/>
          <w:tblCellMar>
            <w:top w:w="15" w:type="dxa"/>
            <w:left w:w="15" w:type="dxa"/>
            <w:bottom w:w="15" w:type="dxa"/>
            <w:right w:w="15" w:type="dxa"/>
          </w:tblCellMar>
        </w:tblPrEx>
        <w:trPr>
          <w:trHeight w:val="284" w:hRule="atLeast"/>
          <w:jc w:val="center"/>
        </w:trPr>
        <w:tc>
          <w:tcPr>
            <w:tcW w:w="1201" w:type="dxa"/>
            <w:vMerge w:val="continue"/>
            <w:tcBorders>
              <w:top w:val="single" w:color="000000" w:sz="4" w:space="0"/>
              <w:left w:val="single" w:color="auto" w:sz="12" w:space="0"/>
              <w:bottom w:val="single" w:color="000000" w:sz="4" w:space="0"/>
              <w:right w:val="single" w:color="000000" w:sz="4" w:space="0"/>
            </w:tcBorders>
            <w:vAlign w:val="center"/>
          </w:tcPr>
          <w:p>
            <w:pPr>
              <w:widowControl/>
              <w:spacing w:line="250" w:lineRule="exact"/>
              <w:ind w:firstLine="420" w:firstLineChars="200"/>
              <w:jc w:val="left"/>
              <w:outlineLvl w:val="0"/>
              <w:rPr>
                <w:rFonts w:asciiTheme="minorEastAsia" w:hAnsiTheme="minorEastAsia" w:eastAsiaTheme="minorEastAsia" w:cstheme="minorEastAsia"/>
                <w:highlight w:val="none"/>
              </w:rPr>
            </w:pPr>
          </w:p>
        </w:tc>
        <w:tc>
          <w:tcPr>
            <w:tcW w:w="2352" w:type="dxa"/>
            <w:tcBorders>
              <w:top w:val="single" w:color="000000" w:sz="4" w:space="0"/>
              <w:left w:val="single" w:color="000000" w:sz="4" w:space="0"/>
              <w:bottom w:val="single" w:color="000000" w:sz="4" w:space="0"/>
              <w:right w:val="single" w:color="000000" w:sz="4" w:space="0"/>
            </w:tcBorders>
            <w:vAlign w:val="center"/>
          </w:tcPr>
          <w:p>
            <w:pPr>
              <w:widowControl/>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报销比例</w:t>
            </w:r>
          </w:p>
        </w:tc>
        <w:tc>
          <w:tcPr>
            <w:tcW w:w="1338" w:type="dxa"/>
            <w:tcBorders>
              <w:top w:val="single" w:color="000000" w:sz="4" w:space="0"/>
              <w:left w:val="single" w:color="000000" w:sz="4" w:space="0"/>
              <w:bottom w:val="single" w:color="000000" w:sz="4" w:space="0"/>
              <w:right w:val="single" w:color="auto" w:sz="12" w:space="0"/>
            </w:tcBorders>
            <w:vAlign w:val="center"/>
          </w:tcPr>
          <w:p>
            <w:pPr>
              <w:widowControl/>
              <w:spacing w:line="250" w:lineRule="exact"/>
              <w:ind w:firstLine="420" w:firstLineChars="20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50%</w:t>
            </w:r>
          </w:p>
        </w:tc>
      </w:tr>
      <w:tr>
        <w:tblPrEx>
          <w:tblLayout w:type="fixed"/>
          <w:tblCellMar>
            <w:top w:w="15" w:type="dxa"/>
            <w:left w:w="15" w:type="dxa"/>
            <w:bottom w:w="15" w:type="dxa"/>
            <w:right w:w="15" w:type="dxa"/>
          </w:tblCellMar>
        </w:tblPrEx>
        <w:trPr>
          <w:trHeight w:val="218" w:hRule="atLeast"/>
          <w:jc w:val="center"/>
        </w:trPr>
        <w:tc>
          <w:tcPr>
            <w:tcW w:w="3553" w:type="dxa"/>
            <w:gridSpan w:val="2"/>
            <w:tcBorders>
              <w:top w:val="single" w:color="000000" w:sz="4" w:space="0"/>
              <w:left w:val="single" w:color="auto" w:sz="12" w:space="0"/>
              <w:bottom w:val="single" w:color="auto" w:sz="12" w:space="0"/>
            </w:tcBorders>
            <w:vAlign w:val="center"/>
          </w:tcPr>
          <w:p>
            <w:pPr>
              <w:widowControl/>
              <w:spacing w:line="25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年度最高支付限额（含个人负担部分）</w:t>
            </w:r>
          </w:p>
        </w:tc>
        <w:tc>
          <w:tcPr>
            <w:tcW w:w="1338" w:type="dxa"/>
            <w:tcBorders>
              <w:top w:val="single" w:color="000000" w:sz="4" w:space="0"/>
              <w:left w:val="single" w:color="000000" w:sz="4" w:space="0"/>
              <w:bottom w:val="single" w:color="auto" w:sz="12" w:space="0"/>
              <w:right w:val="single" w:color="auto" w:sz="12" w:space="0"/>
            </w:tcBorders>
            <w:vAlign w:val="center"/>
          </w:tcPr>
          <w:p>
            <w:pPr>
              <w:widowControl/>
              <w:spacing w:line="250" w:lineRule="exact"/>
              <w:ind w:firstLine="420" w:firstLineChars="20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800元/人</w:t>
            </w:r>
          </w:p>
        </w:tc>
      </w:tr>
    </w:tbl>
    <w:p>
      <w:pPr>
        <w:widowControl/>
        <w:spacing w:line="25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说明：家庭签约参保人员在基层社区卫生服务中心、乡镇卫生院就诊时,在原有医保报销比例基础上提高五个百分点。</w:t>
      </w:r>
    </w:p>
    <w:p>
      <w:pPr>
        <w:widowControl/>
        <w:spacing w:line="250" w:lineRule="exact"/>
        <w:ind w:firstLine="413" w:firstLineChars="196"/>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（二）特殊病种门诊补偿待遇</w:t>
      </w:r>
    </w:p>
    <w:tbl>
      <w:tblPr>
        <w:tblStyle w:val="7"/>
        <w:tblW w:w="5162" w:type="dxa"/>
        <w:jc w:val="center"/>
        <w:tblInd w:w="27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4"/>
        <w:gridCol w:w="2113"/>
        <w:gridCol w:w="722"/>
        <w:gridCol w:w="567"/>
        <w:gridCol w:w="9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88" w:hRule="atLeast"/>
          <w:jc w:val="center"/>
        </w:trPr>
        <w:tc>
          <w:tcPr>
            <w:tcW w:w="854" w:type="dxa"/>
            <w:tcBorders>
              <w:top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类型</w:t>
            </w:r>
          </w:p>
        </w:tc>
        <w:tc>
          <w:tcPr>
            <w:tcW w:w="2113" w:type="dxa"/>
            <w:tcBorders>
              <w:top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病种名称</w:t>
            </w:r>
          </w:p>
        </w:tc>
        <w:tc>
          <w:tcPr>
            <w:tcW w:w="722" w:type="dxa"/>
            <w:tcBorders>
              <w:top w:val="single" w:color="auto" w:sz="12" w:space="0"/>
            </w:tcBorders>
          </w:tcPr>
          <w:p>
            <w:pPr>
              <w:widowControl/>
              <w:spacing w:line="25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起付线（元）</w:t>
            </w:r>
          </w:p>
        </w:tc>
        <w:tc>
          <w:tcPr>
            <w:tcW w:w="567" w:type="dxa"/>
            <w:tcBorders>
              <w:top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支付比例</w:t>
            </w:r>
          </w:p>
        </w:tc>
        <w:tc>
          <w:tcPr>
            <w:tcW w:w="906" w:type="dxa"/>
            <w:tcBorders>
              <w:top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年度最高支付限额（元）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5" w:hRule="atLeast"/>
          <w:jc w:val="center"/>
        </w:trPr>
        <w:tc>
          <w:tcPr>
            <w:tcW w:w="854"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特殊慢性病（7类）</w:t>
            </w:r>
          </w:p>
        </w:tc>
        <w:tc>
          <w:tcPr>
            <w:tcW w:w="2113" w:type="dxa"/>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恶性肿瘤门诊化疗和放疗、器官移植抗排斥反应治疗、血友病、再生障碍性贫血、系统性红斑狼疮、重症尿毒症门诊透析治疗、重症肌无力</w:t>
            </w:r>
          </w:p>
        </w:tc>
        <w:tc>
          <w:tcPr>
            <w:tcW w:w="722" w:type="dxa"/>
            <w:vMerge w:val="restart"/>
            <w:vAlign w:val="center"/>
          </w:tcPr>
          <w:p>
            <w:pPr>
              <w:widowControl/>
              <w:spacing w:line="250" w:lineRule="exact"/>
              <w:rPr>
                <w:rFonts w:asciiTheme="minorEastAsia" w:hAnsiTheme="minorEastAsia" w:eastAsiaTheme="minorEastAsia" w:cstheme="minorEastAsia"/>
                <w:highlight w:val="none"/>
              </w:rPr>
            </w:pPr>
          </w:p>
          <w:p>
            <w:pPr>
              <w:spacing w:line="250" w:lineRule="exac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w:t>
            </w:r>
          </w:p>
          <w:p>
            <w:pPr>
              <w:spacing w:line="250" w:lineRule="exact"/>
              <w:ind w:firstLine="105" w:firstLineChars="50"/>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（社区卫生服务中心及乡镇卫生院除外）</w:t>
            </w:r>
          </w:p>
        </w:tc>
        <w:tc>
          <w:tcPr>
            <w:tcW w:w="567" w:type="dxa"/>
            <w:vMerge w:val="restart"/>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60%</w:t>
            </w:r>
          </w:p>
        </w:tc>
        <w:tc>
          <w:tcPr>
            <w:tcW w:w="906"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7" w:hRule="atLeast"/>
          <w:jc w:val="center"/>
        </w:trPr>
        <w:tc>
          <w:tcPr>
            <w:tcW w:w="854" w:type="dxa"/>
            <w:vMerge w:val="restart"/>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普通慢性病（17类）</w:t>
            </w:r>
          </w:p>
        </w:tc>
        <w:tc>
          <w:tcPr>
            <w:tcW w:w="2113" w:type="dxa"/>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苯丙酮尿症</w:t>
            </w:r>
          </w:p>
        </w:tc>
        <w:tc>
          <w:tcPr>
            <w:tcW w:w="722" w:type="dxa"/>
            <w:vMerge w:val="continue"/>
          </w:tcPr>
          <w:p>
            <w:pPr>
              <w:spacing w:line="250" w:lineRule="exact"/>
              <w:ind w:firstLine="105" w:firstLineChars="50"/>
              <w:jc w:val="left"/>
              <w:rPr>
                <w:rFonts w:asciiTheme="minorEastAsia" w:hAnsiTheme="minorEastAsia" w:eastAsiaTheme="minorEastAsia" w:cstheme="minorEastAsia"/>
                <w:highlight w:val="none"/>
              </w:rPr>
            </w:pPr>
          </w:p>
        </w:tc>
        <w:tc>
          <w:tcPr>
            <w:tcW w:w="567"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906"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0" w:hRule="atLeast"/>
          <w:jc w:val="center"/>
        </w:trPr>
        <w:tc>
          <w:tcPr>
            <w:tcW w:w="854"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2113" w:type="dxa"/>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重性精神病、慢性心功能衰竭、肝硬化失代偿期、脑卒中及后遗症</w:t>
            </w:r>
          </w:p>
        </w:tc>
        <w:tc>
          <w:tcPr>
            <w:tcW w:w="722" w:type="dxa"/>
            <w:vMerge w:val="continue"/>
          </w:tcPr>
          <w:p>
            <w:pPr>
              <w:spacing w:line="250" w:lineRule="exact"/>
              <w:jc w:val="left"/>
              <w:rPr>
                <w:rFonts w:asciiTheme="minorEastAsia" w:hAnsiTheme="minorEastAsia" w:eastAsiaTheme="minorEastAsia" w:cstheme="minorEastAsia"/>
                <w:highlight w:val="none"/>
              </w:rPr>
            </w:pPr>
          </w:p>
        </w:tc>
        <w:tc>
          <w:tcPr>
            <w:tcW w:w="567"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906"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74" w:hRule="atLeast"/>
          <w:jc w:val="center"/>
        </w:trPr>
        <w:tc>
          <w:tcPr>
            <w:tcW w:w="854"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2113" w:type="dxa"/>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高血压病、糖尿病、癫痫病、类风湿关节炎、慢性肾炎、帕金森病</w:t>
            </w:r>
          </w:p>
        </w:tc>
        <w:tc>
          <w:tcPr>
            <w:tcW w:w="722" w:type="dxa"/>
            <w:vMerge w:val="continue"/>
          </w:tcPr>
          <w:p>
            <w:pPr>
              <w:widowControl/>
              <w:spacing w:line="250" w:lineRule="exact"/>
              <w:jc w:val="left"/>
              <w:rPr>
                <w:rFonts w:asciiTheme="minorEastAsia" w:hAnsiTheme="minorEastAsia" w:eastAsiaTheme="minorEastAsia" w:cstheme="minorEastAsia"/>
                <w:highlight w:val="none"/>
              </w:rPr>
            </w:pPr>
          </w:p>
        </w:tc>
        <w:tc>
          <w:tcPr>
            <w:tcW w:w="567"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906"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jc w:val="center"/>
        </w:trPr>
        <w:tc>
          <w:tcPr>
            <w:tcW w:w="854"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2113" w:type="dxa"/>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结核病规范治疗、支气管哮喘、儿童先天性心脏病、强直性脊柱炎、抑郁症、慢性病毒性肝炎（乙型、丙型活动期）</w:t>
            </w:r>
          </w:p>
        </w:tc>
        <w:tc>
          <w:tcPr>
            <w:tcW w:w="722" w:type="dxa"/>
            <w:vMerge w:val="continue"/>
          </w:tcPr>
          <w:p>
            <w:pPr>
              <w:widowControl/>
              <w:spacing w:line="250" w:lineRule="exact"/>
              <w:jc w:val="left"/>
              <w:rPr>
                <w:rFonts w:asciiTheme="minorEastAsia" w:hAnsiTheme="minorEastAsia" w:eastAsiaTheme="minorEastAsia" w:cstheme="minorEastAsia"/>
                <w:highlight w:val="none"/>
              </w:rPr>
            </w:pPr>
          </w:p>
        </w:tc>
        <w:tc>
          <w:tcPr>
            <w:tcW w:w="567" w:type="dxa"/>
            <w:vMerge w:val="continue"/>
            <w:vAlign w:val="center"/>
          </w:tcPr>
          <w:p>
            <w:pPr>
              <w:widowControl/>
              <w:spacing w:line="250" w:lineRule="exact"/>
              <w:jc w:val="left"/>
              <w:rPr>
                <w:rFonts w:asciiTheme="minorEastAsia" w:hAnsiTheme="minorEastAsia" w:eastAsiaTheme="minorEastAsia" w:cstheme="minorEastAsia"/>
                <w:highlight w:val="none"/>
              </w:rPr>
            </w:pPr>
          </w:p>
        </w:tc>
        <w:tc>
          <w:tcPr>
            <w:tcW w:w="906" w:type="dxa"/>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66" w:hRule="atLeast"/>
          <w:jc w:val="center"/>
        </w:trPr>
        <w:tc>
          <w:tcPr>
            <w:tcW w:w="854" w:type="dxa"/>
            <w:tcBorders>
              <w:bottom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其他病种（2类）</w:t>
            </w:r>
          </w:p>
        </w:tc>
        <w:tc>
          <w:tcPr>
            <w:tcW w:w="2113" w:type="dxa"/>
            <w:tcBorders>
              <w:bottom w:val="single" w:color="auto" w:sz="12" w:space="0"/>
            </w:tcBorders>
            <w:vAlign w:val="center"/>
          </w:tcPr>
          <w:p>
            <w:pPr>
              <w:widowControl/>
              <w:spacing w:line="250" w:lineRule="exact"/>
              <w:jc w:val="left"/>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白内障门诊手术治疗、门诊危重病抢救</w:t>
            </w:r>
          </w:p>
        </w:tc>
        <w:tc>
          <w:tcPr>
            <w:tcW w:w="722" w:type="dxa"/>
            <w:vMerge w:val="continue"/>
            <w:tcBorders>
              <w:bottom w:val="single" w:color="auto" w:sz="12" w:space="0"/>
            </w:tcBorders>
          </w:tcPr>
          <w:p>
            <w:pPr>
              <w:widowControl/>
              <w:spacing w:line="250" w:lineRule="exact"/>
              <w:jc w:val="left"/>
              <w:rPr>
                <w:rFonts w:asciiTheme="minorEastAsia" w:hAnsiTheme="minorEastAsia" w:eastAsiaTheme="minorEastAsia" w:cstheme="minorEastAsia"/>
                <w:highlight w:val="none"/>
              </w:rPr>
            </w:pPr>
          </w:p>
        </w:tc>
        <w:tc>
          <w:tcPr>
            <w:tcW w:w="567" w:type="dxa"/>
            <w:vMerge w:val="continue"/>
            <w:tcBorders>
              <w:bottom w:val="single" w:color="auto" w:sz="12" w:space="0"/>
            </w:tcBorders>
            <w:vAlign w:val="center"/>
          </w:tcPr>
          <w:p>
            <w:pPr>
              <w:widowControl/>
              <w:spacing w:line="250" w:lineRule="exact"/>
              <w:jc w:val="left"/>
              <w:rPr>
                <w:rFonts w:asciiTheme="minorEastAsia" w:hAnsiTheme="minorEastAsia" w:eastAsiaTheme="minorEastAsia" w:cstheme="minorEastAsia"/>
                <w:highlight w:val="none"/>
              </w:rPr>
            </w:pPr>
          </w:p>
        </w:tc>
        <w:tc>
          <w:tcPr>
            <w:tcW w:w="906" w:type="dxa"/>
            <w:tcBorders>
              <w:bottom w:val="single" w:color="auto" w:sz="12" w:space="0"/>
            </w:tcBorders>
            <w:vAlign w:val="center"/>
          </w:tcPr>
          <w:p>
            <w:pPr>
              <w:widowControl/>
              <w:spacing w:line="250" w:lineRule="exact"/>
              <w:jc w:val="center"/>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8000</w:t>
            </w:r>
          </w:p>
        </w:tc>
      </w:tr>
    </w:tbl>
    <w:p>
      <w:pPr>
        <w:widowControl/>
        <w:spacing w:line="25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说明：家庭签约参保人员在基层社区卫生服务中心、乡镇卫生院就诊时,在原有医保报销比例基础上提高五个百分点。</w:t>
      </w:r>
    </w:p>
    <w:p>
      <w:pPr>
        <w:pStyle w:val="8"/>
        <w:spacing w:line="290" w:lineRule="exact"/>
        <w:ind w:left="408"/>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（三）住院补偿待遇</w:t>
      </w:r>
    </w:p>
    <w:tbl>
      <w:tblPr>
        <w:tblStyle w:val="7"/>
        <w:tblW w:w="5185" w:type="dxa"/>
        <w:jc w:val="center"/>
        <w:tblInd w:w="5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16"/>
        <w:gridCol w:w="850"/>
        <w:gridCol w:w="851"/>
        <w:gridCol w:w="835"/>
        <w:gridCol w:w="657"/>
        <w:gridCol w:w="77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2" w:hRule="atLeast"/>
          <w:jc w:val="center"/>
        </w:trPr>
        <w:tc>
          <w:tcPr>
            <w:tcW w:w="2066" w:type="dxa"/>
            <w:gridSpan w:val="2"/>
            <w:vMerge w:val="restart"/>
            <w:tcBorders>
              <w:top w:val="single" w:color="auto" w:sz="12" w:space="0"/>
            </w:tcBorders>
            <w:vAlign w:val="center"/>
          </w:tcPr>
          <w:p>
            <w:pPr>
              <w:widowControl/>
              <w:spacing w:line="290" w:lineRule="exact"/>
              <w:ind w:firstLine="840" w:firstLineChars="400"/>
              <w:jc w:val="left"/>
              <w:outlineLvl w:val="0"/>
              <w:rPr>
                <w:rFonts w:asciiTheme="minorEastAsia" w:hAnsiTheme="minorEastAsia" w:eastAsiaTheme="minorEastAsia" w:cstheme="minorEastAsia"/>
                <w:highlight w:val="none"/>
              </w:rPr>
            </w:pPr>
            <w:r>
              <w:rPr>
                <w:rFonts w:asciiTheme="minorEastAsia" w:hAnsiTheme="minorEastAsia" w:eastAsiaTheme="minorEastAsia" w:cstheme="minorEastAsia"/>
                <w:highlight w:val="none"/>
              </w:rPr>
              <w:pict>
                <v:shape id="_x0000_s1026" o:spid="_x0000_s1026" o:spt="32" type="#_x0000_t32" style="position:absolute;left:0pt;margin-left:3.25pt;margin-top:2.8pt;height:68.2pt;width:89.05pt;z-index:251658240;mso-width-relative:page;mso-height-relative:page;" filled="f" coordsize="21600,21600" o:gfxdata="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pflEKtcAAAAIAQAADwAAAAAAAAABACAAAAAiAAAAZHJzL2Rvd25yZXYueG1sUEsBAhQAFAAAAAgA&#10;h07iQDWKme7tAQAAsQMAAA4AAAAAAAAAAQAgAAAAJgEAAGRycy9lMm9Eb2MueG1sUEsFBgAAAAAG&#10;AAYAWQEAAIUFAAAAAA==&#10;">
                  <v:path arrowok="t"/>
                  <v:fill on="f" focussize="0,0"/>
                  <v:stroke/>
                  <v:imagedata o:title=""/>
                  <o:lock v:ext="edit"/>
                </v:shape>
              </w:pict>
            </w:r>
            <w:r>
              <w:rPr>
                <w:rFonts w:hint="eastAsia" w:asciiTheme="minorEastAsia" w:hAnsiTheme="minorEastAsia" w:eastAsiaTheme="minorEastAsia" w:cstheme="minorEastAsia"/>
                <w:highlight w:val="none"/>
              </w:rPr>
              <w:t>机构级别</w:t>
            </w:r>
          </w:p>
          <w:p>
            <w:pPr>
              <w:widowControl/>
              <w:spacing w:line="290" w:lineRule="exact"/>
              <w:jc w:val="left"/>
              <w:outlineLvl w:val="0"/>
              <w:rPr>
                <w:rFonts w:asciiTheme="minorEastAsia" w:hAnsiTheme="minorEastAsia" w:eastAsiaTheme="minorEastAsia" w:cstheme="minorEastAsia"/>
                <w:highlight w:val="none"/>
              </w:rPr>
            </w:pPr>
          </w:p>
          <w:p>
            <w:pPr>
              <w:widowControl/>
              <w:spacing w:line="29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报销政策</w:t>
            </w:r>
          </w:p>
        </w:tc>
        <w:tc>
          <w:tcPr>
            <w:tcW w:w="851" w:type="dxa"/>
            <w:tcBorders>
              <w:top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w:t>
            </w:r>
          </w:p>
        </w:tc>
        <w:tc>
          <w:tcPr>
            <w:tcW w:w="835" w:type="dxa"/>
            <w:tcBorders>
              <w:top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w:t>
            </w:r>
          </w:p>
        </w:tc>
        <w:tc>
          <w:tcPr>
            <w:tcW w:w="657" w:type="dxa"/>
            <w:tcBorders>
              <w:top w:val="single" w:color="auto" w:sz="12" w:space="0"/>
            </w:tcBorders>
            <w:vAlign w:val="center"/>
          </w:tcPr>
          <w:p>
            <w:pPr>
              <w:widowControl/>
              <w:spacing w:line="290" w:lineRule="exact"/>
              <w:ind w:firstLine="210" w:firstLineChars="10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w:t>
            </w:r>
          </w:p>
        </w:tc>
        <w:tc>
          <w:tcPr>
            <w:tcW w:w="776" w:type="dxa"/>
            <w:tcBorders>
              <w:top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009" w:hRule="atLeast"/>
          <w:jc w:val="center"/>
        </w:trPr>
        <w:tc>
          <w:tcPr>
            <w:tcW w:w="2066" w:type="dxa"/>
            <w:gridSpan w:val="2"/>
            <w:vMerge w:val="continue"/>
            <w:vAlign w:val="center"/>
          </w:tcPr>
          <w:p>
            <w:pPr>
              <w:widowControl/>
              <w:spacing w:line="290" w:lineRule="exact"/>
              <w:ind w:firstLine="420" w:firstLineChars="200"/>
              <w:jc w:val="left"/>
              <w:outlineLvl w:val="0"/>
              <w:rPr>
                <w:rFonts w:asciiTheme="minorEastAsia" w:hAnsiTheme="minorEastAsia" w:eastAsiaTheme="minorEastAsia" w:cstheme="minorEastAsia"/>
                <w:highlight w:val="none"/>
              </w:rPr>
            </w:pPr>
          </w:p>
        </w:tc>
        <w:tc>
          <w:tcPr>
            <w:tcW w:w="851" w:type="dxa"/>
            <w:vAlign w:val="center"/>
          </w:tcPr>
          <w:p>
            <w:pPr>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三甲</w:t>
            </w:r>
          </w:p>
          <w:p>
            <w:pPr>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及市外</w:t>
            </w:r>
          </w:p>
        </w:tc>
        <w:tc>
          <w:tcPr>
            <w:tcW w:w="835" w:type="dxa"/>
            <w:vAlign w:val="center"/>
          </w:tcPr>
          <w:p>
            <w:pPr>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三乙（含专科三甲）</w:t>
            </w:r>
          </w:p>
        </w:tc>
        <w:tc>
          <w:tcPr>
            <w:tcW w:w="657" w:type="dxa"/>
            <w:vAlign w:val="center"/>
          </w:tcPr>
          <w:p>
            <w:pPr>
              <w:spacing w:line="290" w:lineRule="exact"/>
              <w:ind w:firstLine="105" w:firstLineChars="5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二级</w:t>
            </w:r>
          </w:p>
        </w:tc>
        <w:tc>
          <w:tcPr>
            <w:tcW w:w="776" w:type="dxa"/>
            <w:vAlign w:val="center"/>
          </w:tcPr>
          <w:p>
            <w:pPr>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一级、社区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61" w:hRule="atLeast"/>
          <w:jc w:val="center"/>
        </w:trPr>
        <w:tc>
          <w:tcPr>
            <w:tcW w:w="1216" w:type="dxa"/>
            <w:vMerge w:val="restart"/>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年度最高支付限额（含个人负担部分）12万元</w:t>
            </w:r>
          </w:p>
        </w:tc>
        <w:tc>
          <w:tcPr>
            <w:tcW w:w="850" w:type="dxa"/>
            <w:vAlign w:val="center"/>
          </w:tcPr>
          <w:p>
            <w:pPr>
              <w:widowControl/>
              <w:spacing w:line="29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起付线（元）</w:t>
            </w:r>
          </w:p>
        </w:tc>
        <w:tc>
          <w:tcPr>
            <w:tcW w:w="851" w:type="dxa"/>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800</w:t>
            </w:r>
          </w:p>
        </w:tc>
        <w:tc>
          <w:tcPr>
            <w:tcW w:w="835" w:type="dxa"/>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400</w:t>
            </w:r>
          </w:p>
        </w:tc>
        <w:tc>
          <w:tcPr>
            <w:tcW w:w="657" w:type="dxa"/>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300</w:t>
            </w:r>
          </w:p>
        </w:tc>
        <w:tc>
          <w:tcPr>
            <w:tcW w:w="776" w:type="dxa"/>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58" w:hRule="atLeast"/>
          <w:jc w:val="center"/>
        </w:trPr>
        <w:tc>
          <w:tcPr>
            <w:tcW w:w="1216" w:type="dxa"/>
            <w:vMerge w:val="continue"/>
            <w:tcBorders>
              <w:bottom w:val="single" w:color="auto" w:sz="12" w:space="0"/>
            </w:tcBorders>
            <w:vAlign w:val="center"/>
          </w:tcPr>
          <w:p>
            <w:pPr>
              <w:widowControl/>
              <w:spacing w:line="290" w:lineRule="exact"/>
              <w:ind w:firstLine="420" w:firstLineChars="200"/>
              <w:jc w:val="left"/>
              <w:outlineLvl w:val="0"/>
              <w:rPr>
                <w:rFonts w:asciiTheme="minorEastAsia" w:hAnsiTheme="minorEastAsia" w:eastAsiaTheme="minorEastAsia" w:cstheme="minorEastAsia"/>
                <w:highlight w:val="none"/>
              </w:rPr>
            </w:pPr>
          </w:p>
        </w:tc>
        <w:tc>
          <w:tcPr>
            <w:tcW w:w="850" w:type="dxa"/>
            <w:tcBorders>
              <w:bottom w:val="single" w:color="auto" w:sz="12" w:space="0"/>
            </w:tcBorders>
            <w:vAlign w:val="center"/>
          </w:tcPr>
          <w:p>
            <w:pPr>
              <w:widowControl/>
              <w:spacing w:line="290" w:lineRule="exact"/>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支付比例</w:t>
            </w:r>
          </w:p>
        </w:tc>
        <w:tc>
          <w:tcPr>
            <w:tcW w:w="851" w:type="dxa"/>
            <w:tcBorders>
              <w:bottom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55%</w:t>
            </w:r>
          </w:p>
        </w:tc>
        <w:tc>
          <w:tcPr>
            <w:tcW w:w="835" w:type="dxa"/>
            <w:tcBorders>
              <w:bottom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65%</w:t>
            </w:r>
          </w:p>
        </w:tc>
        <w:tc>
          <w:tcPr>
            <w:tcW w:w="657" w:type="dxa"/>
            <w:tcBorders>
              <w:bottom w:val="single" w:color="auto" w:sz="12" w:space="0"/>
            </w:tcBorders>
            <w:vAlign w:val="center"/>
          </w:tcPr>
          <w:p>
            <w:pPr>
              <w:widowControl/>
              <w:spacing w:line="290" w:lineRule="exact"/>
              <w:ind w:firstLine="105" w:firstLineChars="50"/>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80%</w:t>
            </w:r>
          </w:p>
        </w:tc>
        <w:tc>
          <w:tcPr>
            <w:tcW w:w="776" w:type="dxa"/>
            <w:tcBorders>
              <w:bottom w:val="single" w:color="auto" w:sz="12" w:space="0"/>
            </w:tcBorders>
            <w:vAlign w:val="center"/>
          </w:tcPr>
          <w:p>
            <w:pPr>
              <w:widowControl/>
              <w:spacing w:line="290" w:lineRule="exact"/>
              <w:jc w:val="center"/>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90%</w:t>
            </w:r>
          </w:p>
        </w:tc>
      </w:tr>
    </w:tbl>
    <w:p>
      <w:pPr>
        <w:widowControl/>
        <w:spacing w:line="290" w:lineRule="exact"/>
        <w:ind w:firstLine="315" w:firstLineChars="15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说明：1、参保人员年度内多次住院按上述起付标准依次递减100元，直至降至零为止。</w:t>
      </w:r>
    </w:p>
    <w:p>
      <w:pPr>
        <w:widowControl/>
        <w:numPr>
          <w:ilvl w:val="0"/>
          <w:numId w:val="2"/>
        </w:numPr>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参保人员在定点医疗机构发生的列入按病种收费管理的医疗费用，按照该病种收费标准及统筹基金支付比例结算，不设起付标准。</w:t>
      </w:r>
    </w:p>
    <w:p>
      <w:pPr>
        <w:widowControl/>
        <w:numPr>
          <w:ilvl w:val="0"/>
          <w:numId w:val="2"/>
        </w:numPr>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符合我省计划生育规定的城乡女性参保居民每次生育（含顺产、剖宫产）医疗费用，由城乡居民医保基金给予一次性定额报销800元/人，但病理性产科医疗费用执行城乡居民医保住院报销政策。</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（四）大病补偿待遇</w:t>
      </w:r>
    </w:p>
    <w:p>
      <w:pPr>
        <w:widowControl/>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一个参保年度内，城乡居民医保参保人员因患大病发生的个人负担的医保目录内住院及门诊特殊病种医疗费用，超过19360元部分，保额20万元，赔付比例60%。其中：建档立卡贫困人口起付线降低到9680元，赔付比例提高到65%，取消大病保险封顶线。</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（五）优惠救治待遇</w:t>
      </w:r>
    </w:p>
    <w:p>
      <w:pPr>
        <w:widowControl/>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kern w:val="0"/>
          <w:highlight w:val="none"/>
        </w:rPr>
        <w:t>终末期肾病、血友病、慢性髓细胞性白血病、湿性年龄相关性黄斑变性和克罗恩病门诊救治；艾滋病机会感染</w:t>
      </w:r>
      <w:r>
        <w:rPr>
          <w:rFonts w:hint="eastAsia" w:asciiTheme="minorEastAsia" w:hAnsiTheme="minorEastAsia" w:eastAsiaTheme="minorEastAsia" w:cstheme="minorEastAsia"/>
          <w:highlight w:val="none"/>
        </w:rPr>
        <w:t>住院救治；重性精神病门诊和住院救治，按规定在定点救治医疗机构就医，可享受优惠救治待遇。</w:t>
      </w:r>
    </w:p>
    <w:p>
      <w:pPr>
        <w:widowControl/>
        <w:spacing w:line="250" w:lineRule="exact"/>
        <w:ind w:firstLine="422"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六、门诊特殊病种和治疗项目备案登记</w:t>
      </w:r>
    </w:p>
    <w:p>
      <w:pPr>
        <w:widowControl/>
        <w:spacing w:line="250" w:lineRule="exact"/>
        <w:ind w:firstLine="420" w:firstLineChars="200"/>
        <w:jc w:val="left"/>
        <w:outlineLvl w:val="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highlight w:val="none"/>
        </w:rPr>
        <w:t xml:space="preserve">（一）实行网上备案的医疗机构：在有资质认定门诊特殊病种的市属及以下级别医保定点医疗机构、部分省属医疗机构（（目前有省肿瘤医院、省级机关医院），由接诊医生（主治及以上职称）出具诊断证明，定点医疗机构直接办理门诊特殊病种审核和网络登记工作； </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未实行网上备案的医疗机构：由有资质认定的定点医院具备相应专科主治及以上职称的医生,填写《福州市基本医疗保险门诊特殊病种治疗项目备案表》，定点医院医保办或医务科审核盖章后，参保人员凭社保卡和《福州市基本医疗保险门诊特殊病种治疗项目备案表》向参保所在地基本医疗保险经办机构或医保服务站提出申请登记备案。</w:t>
      </w:r>
    </w:p>
    <w:p>
      <w:pPr>
        <w:widowControl/>
        <w:spacing w:line="25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高血压病、糖尿病由乡镇卫生院及以上级别医院；苯丙酮尿症由省妇幼保健院；重性精神病由定点精神病专科医院；帕金森病由三级定点医院；门诊危重病抢救的病种由各级医疗机构；其余门诊特殊病种由二级及以上定点医院，相关科室主治及以上医师认定。</w:t>
      </w:r>
    </w:p>
    <w:p>
      <w:pPr>
        <w:widowControl/>
        <w:spacing w:line="240" w:lineRule="exact"/>
        <w:ind w:firstLine="422" w:firstLineChars="200"/>
        <w:jc w:val="left"/>
        <w:outlineLvl w:val="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七、医疗费用结算</w:t>
      </w:r>
    </w:p>
    <w:p>
      <w:pPr>
        <w:widowControl/>
        <w:spacing w:line="240" w:lineRule="exact"/>
        <w:ind w:firstLine="422" w:firstLineChars="200"/>
        <w:jc w:val="left"/>
        <w:outlineLvl w:val="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（一）结算方式</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大学生在我市定点医疗机构就诊，应持社会保障卡直接刷卡结算。</w:t>
      </w:r>
    </w:p>
    <w:p>
      <w:pPr>
        <w:widowControl/>
        <w:numPr>
          <w:ilvl w:val="0"/>
          <w:numId w:val="3"/>
        </w:numPr>
        <w:spacing w:line="240" w:lineRule="exact"/>
        <w:ind w:firstLine="422" w:firstLineChars="200"/>
        <w:jc w:val="left"/>
        <w:outlineLvl w:val="0"/>
        <w:rPr>
          <w:rFonts w:asciiTheme="minorEastAsia" w:hAnsiTheme="minorEastAsia" w:eastAsiaTheme="minorEastAsia" w:cstheme="minorEastAsia"/>
          <w:b/>
          <w:highlight w:val="none"/>
        </w:rPr>
      </w:pPr>
      <w:r>
        <w:rPr>
          <w:rFonts w:hint="eastAsia" w:asciiTheme="minorEastAsia" w:hAnsiTheme="minorEastAsia" w:eastAsiaTheme="minorEastAsia" w:cstheme="minorEastAsia"/>
          <w:b/>
          <w:highlight w:val="none"/>
        </w:rPr>
        <w:t>手工报销</w:t>
      </w:r>
    </w:p>
    <w:p>
      <w:pPr>
        <w:widowControl/>
        <w:spacing w:line="240" w:lineRule="exact"/>
        <w:ind w:firstLine="420"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因电脑发生故障、年度结转停机等情况未刷卡结算的，可手工报销结算医疗费。</w:t>
      </w:r>
    </w:p>
    <w:p>
      <w:pPr>
        <w:widowControl/>
        <w:spacing w:line="240" w:lineRule="exact"/>
        <w:ind w:firstLine="422"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1、普通门诊、特殊门诊费用报销所需材料：</w:t>
      </w:r>
      <w:r>
        <w:rPr>
          <w:rFonts w:hint="eastAsia" w:asciiTheme="minorEastAsia" w:hAnsiTheme="minorEastAsia" w:eastAsiaTheme="minorEastAsia" w:cstheme="minorEastAsia"/>
          <w:highlight w:val="none"/>
        </w:rPr>
        <w:t>《在榕高校大学生医疗费用报销申请表》、门诊原始医疗费用收费票据、门诊医疗费用清单（特殊门诊还需提供门诊病历复印件）。</w:t>
      </w:r>
    </w:p>
    <w:p>
      <w:pPr>
        <w:widowControl/>
        <w:spacing w:line="240" w:lineRule="exact"/>
        <w:ind w:firstLine="422" w:firstLineChars="200"/>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2、住院医疗费用报销所需材料：</w:t>
      </w:r>
      <w:r>
        <w:rPr>
          <w:rFonts w:hint="eastAsia" w:asciiTheme="minorEastAsia" w:hAnsiTheme="minorEastAsia" w:eastAsiaTheme="minorEastAsia" w:cstheme="minorEastAsia"/>
          <w:highlight w:val="none"/>
        </w:rPr>
        <w:t>《在榕高校大学生医疗费用报销申请表》、住院原始医疗费用收费票据、住院医疗费用总清单、出院小结。</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highlight w:val="none"/>
        </w:rPr>
        <w:t>外伤住院治疗</w:t>
      </w:r>
      <w:r>
        <w:rPr>
          <w:rFonts w:hint="eastAsia" w:asciiTheme="minorEastAsia" w:hAnsiTheme="minorEastAsia" w:eastAsiaTheme="minorEastAsia" w:cstheme="minorEastAsia"/>
          <w:highlight w:val="none"/>
        </w:rPr>
        <w:t>需提供《福州市基本医疗保险参保人员外伤住院报备表》、门诊病历、入院记录、本人身份证或代理人身份证原件及复印件到鼓楼管理部外伤审批窗口审核。</w:t>
      </w:r>
    </w:p>
    <w:p>
      <w:pPr>
        <w:widowControl/>
        <w:spacing w:line="240" w:lineRule="exact"/>
        <w:ind w:firstLine="422"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b/>
          <w:bCs/>
          <w:highlight w:val="none"/>
        </w:rPr>
        <w:t>3、生育费用报销所需材料：</w:t>
      </w:r>
      <w:r>
        <w:rPr>
          <w:rFonts w:hint="eastAsia" w:asciiTheme="minorEastAsia" w:hAnsiTheme="minorEastAsia" w:eastAsiaTheme="minorEastAsia" w:cstheme="minorEastAsia"/>
          <w:highlight w:val="none"/>
        </w:rPr>
        <w:t>《在榕高校大学生医疗费用报销申请表》、住院原始医疗费用收费票据、住院医疗费用总清单、出院小结，及一二孩生育登记表或生育服务证原件（若在共享平台可查询到的不提供）。</w:t>
      </w:r>
    </w:p>
    <w:p>
      <w:pPr>
        <w:widowControl/>
        <w:spacing w:line="240" w:lineRule="exact"/>
        <w:ind w:firstLine="420" w:firstLineChars="200"/>
        <w:jc w:val="left"/>
        <w:outlineLvl w:val="0"/>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★上述医院材料均需医院盖章。</w:t>
      </w:r>
    </w:p>
    <w:p>
      <w:pPr>
        <w:widowControl/>
        <w:spacing w:line="240" w:lineRule="exact"/>
        <w:ind w:firstLine="422" w:firstLineChars="200"/>
        <w:jc w:val="left"/>
        <w:outlineLvl w:val="0"/>
        <w:rPr>
          <w:rFonts w:hint="eastAsia"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八、异地医疗管理</w:t>
      </w:r>
    </w:p>
    <w:p>
      <w:pPr>
        <w:spacing w:line="256" w:lineRule="exact"/>
        <w:ind w:firstLine="539" w:firstLineChars="257"/>
        <w:rPr>
          <w:rFonts w:ascii="宋体" w:hAnsi="宋体" w:cs="宋体"/>
          <w:highlight w:val="none"/>
        </w:rPr>
      </w:pPr>
      <w:r>
        <w:rPr>
          <w:rFonts w:hint="eastAsia" w:asciiTheme="minorEastAsia" w:hAnsiTheme="minorEastAsia" w:eastAsiaTheme="minorEastAsia" w:cstheme="minorEastAsia"/>
          <w:highlight w:val="none"/>
        </w:rPr>
        <w:t>（一）异地就医流程：先备案</w:t>
      </w:r>
      <w:r>
        <w:rPr>
          <w:rFonts w:hint="eastAsia" w:ascii="MS Mincho" w:hAnsi="MS Mincho" w:eastAsia="MS Mincho" w:cs="MS Mincho"/>
          <w:highlight w:val="none"/>
        </w:rPr>
        <w:t>▶</w:t>
      </w:r>
      <w:r>
        <w:rPr>
          <w:rFonts w:hint="eastAsia" w:ascii="宋体" w:hAnsi="宋体" w:cs="宋体"/>
          <w:highlight w:val="none"/>
        </w:rPr>
        <w:t>选定点</w:t>
      </w:r>
      <w:r>
        <w:rPr>
          <w:rFonts w:hint="eastAsia" w:ascii="MS Mincho" w:hAnsi="MS Mincho" w:eastAsia="MS Mincho" w:cs="MS Mincho"/>
          <w:highlight w:val="none"/>
        </w:rPr>
        <w:t>▶</w:t>
      </w:r>
      <w:r>
        <w:rPr>
          <w:rFonts w:hint="eastAsia" w:ascii="宋体" w:hAnsi="宋体" w:cs="宋体"/>
          <w:highlight w:val="none"/>
        </w:rPr>
        <w:t>持卡就医。</w:t>
      </w:r>
    </w:p>
    <w:p>
      <w:pPr>
        <w:spacing w:line="256" w:lineRule="exact"/>
        <w:ind w:firstLine="539" w:firstLineChars="257"/>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可通过“福州市医疗保障局”微信公众号、“e福州”APP、“E点通”单位网上申报平台</w:t>
      </w:r>
      <w:r>
        <w:rPr>
          <w:rFonts w:hint="eastAsia" w:asciiTheme="minorEastAsia" w:hAnsiTheme="minorEastAsia" w:eastAsiaTheme="minorEastAsia" w:cstheme="minorEastAsia"/>
          <w:highlight w:val="none"/>
          <w:lang w:val="en-US" w:eastAsia="zh-CN"/>
        </w:rPr>
        <w:t>等线上渠道</w:t>
      </w:r>
      <w:r>
        <w:rPr>
          <w:rFonts w:hint="eastAsia" w:asciiTheme="minorEastAsia" w:hAnsiTheme="minorEastAsia" w:eastAsiaTheme="minorEastAsia" w:cstheme="minorEastAsia"/>
          <w:highlight w:val="none"/>
        </w:rPr>
        <w:t>，及所属管理部传真、电话、窗口申报办理。</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二）异地安置（限住院和门诊特殊病种）：大学生寒暑假、因病休学期间以及在学校规定的教育实习、课题研究、社会调查等期间居住在统筹区外的，由所在学校（或个人）向医保中心登记备案后，方可到居住地的医疗保险定点医疗机构就诊（在国外或境外就医，医疗保险基金不予支付）。</w:t>
      </w:r>
    </w:p>
    <w:p>
      <w:pPr>
        <w:widowControl/>
        <w:spacing w:line="240" w:lineRule="exact"/>
        <w:ind w:firstLine="411" w:firstLineChars="196"/>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1、省内：选择在全省联网定点医疗机构就医的，其住院治疗实行免报备即时刷卡结算，门诊特殊病种按规定进行备案登记后可即时刷卡结算。选择在非全省联网定点医疗机构就医的，最多选择2家定点医疗机构，填写《福州市基本医疗保险省内异地安置登记备案表》报备后，其就医发生的医疗费用按我市规定手工报销。</w:t>
      </w:r>
    </w:p>
    <w:p>
      <w:pPr>
        <w:widowControl/>
        <w:spacing w:line="240" w:lineRule="exact"/>
        <w:ind w:firstLine="411" w:firstLineChars="196"/>
        <w:jc w:val="left"/>
        <w:outlineLvl w:val="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2、省外：居住地在省外的，可以由学校统一办理异地安置备案，选择就医地市为备案安置地（其中安置到北京、天津、上海、重庆、海南、西藏和新疆兵团的，备案到就医省份），填报《福州市跨省异地就医登记备案表》（个人申报）或《福州市大学生异地安置备案登记明细表》(学校申报)，办理异地安置备案。备案后，在安置地的所有全国联网定点医疗机构住院均可即时刷卡结算，在参保地仍可继续即时刷卡结算。</w:t>
      </w:r>
    </w:p>
    <w:p>
      <w:pPr>
        <w:widowControl/>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三）省外转院就医（限住院）：本统筹区最高等级医疗机构无法救治、需转异地就医的，转入的省外医院必须是三级甲等医院。转入医院为全国联网的三甲医院，参保人员持本人社会保障卡、身份证，进行备案登记；转入医院为非全国联网的三甲医院，由本统筹区内三甲医院相关专业副主任及以上医师填写《福州市基本医疗保险异地转院登记备案表》，经定点医疗机构审核盖章后，报医保中心备案登记。跨省转诊转院备案有效期为三个月，备案有效期内办理入院手续的，无论本次出院日期是否超出备案有效期，均属于有效备案。</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★重要提示</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○参保人员办理异地就医备案登记，在外统筹区住院就医时，统一执行我市三甲定点医疗机构的报销政策。</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选择在全国联网定点医疗机构就医的，备案登记后住院治疗可即时刷卡结算，执行就医地医保目录，参保地报销政策；其门诊特殊病种所发生的费用按我市基本医保政策手工报销。选择在非全国联网定点医疗机构就医的，其就医发生的住院及门诊特殊病种医疗费用按我市基本医保政策进行手工报销。</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○由于参保地和就医地的医保目录不同，不同结算方式，会造成医保待遇的差异，符合条件的应刷卡结算。</w:t>
      </w:r>
    </w:p>
    <w:p>
      <w:pPr>
        <w:spacing w:line="250" w:lineRule="exact"/>
        <w:ind w:firstLine="420" w:firstLineChars="200"/>
        <w:rPr>
          <w:rFonts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参保人员未按规定办理异地就医备案登记的，在联网医疗机构就医，医保基金按我市规定支付标准的50%结算；在非联网的定点医疗机构就医，医保基金按我市规定支付标准的30%结算。参保人员在本统筹区外非定点的医疗机构就医的，医疗费用不予报销。</w:t>
      </w:r>
    </w:p>
    <w:p>
      <w:pPr>
        <w:spacing w:line="250" w:lineRule="exact"/>
        <w:ind w:firstLine="42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九、社会保障卡申领</w:t>
      </w:r>
    </w:p>
    <w:p>
      <w:pPr>
        <w:widowControl/>
        <w:adjustRightInd w:val="0"/>
        <w:snapToGrid w:val="0"/>
        <w:spacing w:line="250" w:lineRule="exact"/>
        <w:ind w:firstLine="411" w:firstLineChars="196"/>
        <w:jc w:val="left"/>
        <w:outlineLvl w:val="0"/>
        <w:rPr>
          <w:rFonts w:asciiTheme="minorEastAsia" w:hAnsiTheme="minorEastAsia" w:eastAsiaTheme="minorEastAsia" w:cstheme="minorEastAsia"/>
          <w:kern w:val="0"/>
          <w:highlight w:val="none"/>
        </w:rPr>
      </w:pPr>
      <w:r>
        <w:rPr>
          <w:rFonts w:hint="eastAsia" w:asciiTheme="minorEastAsia" w:hAnsiTheme="minorEastAsia" w:eastAsiaTheme="minorEastAsia" w:cstheme="minorEastAsia"/>
          <w:kern w:val="0"/>
          <w:highlight w:val="none"/>
        </w:rPr>
        <w:t>社保卡申领及补换卡业务由海峡银行负责，可登录网站（www.fjhxbank.com）查询，或在“众行海峡”APP查询预约办卡。</w:t>
      </w:r>
    </w:p>
    <w:p>
      <w:pPr>
        <w:spacing w:line="250" w:lineRule="exact"/>
        <w:ind w:firstLine="422" w:firstLineChars="200"/>
        <w:jc w:val="left"/>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highlight w:val="none"/>
        </w:rPr>
        <w:t>十、医保表格指南下载</w:t>
      </w:r>
    </w:p>
    <w:p>
      <w:pPr>
        <w:spacing w:line="250" w:lineRule="exact"/>
        <w:ind w:firstLine="420" w:firstLineChars="200"/>
        <w:jc w:val="left"/>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t>登录福建省网上办事大厅→我要办→部门服务→市医保中心（服务地切换为福州市）或福州市人民政府网站→专题专栏→福州医疗保障查询。</w:t>
      </w:r>
    </w:p>
    <w:p>
      <w:pPr>
        <w:spacing w:line="250" w:lineRule="exact"/>
        <w:ind w:firstLine="420" w:firstLineChars="200"/>
        <w:jc w:val="left"/>
        <w:rPr>
          <w:rFonts w:asciiTheme="minorEastAsia" w:hAnsiTheme="minorEastAsia" w:eastAsiaTheme="minorEastAsia" w:cstheme="minorEastAsia"/>
          <w:highlight w:val="none"/>
        </w:rPr>
      </w:pPr>
      <w:r>
        <w:rPr>
          <w:rFonts w:hint="eastAsia" w:ascii="宋体" w:hAnsi="宋体"/>
          <w:szCs w:val="21"/>
          <w:highlight w:val="none"/>
        </w:rPr>
        <w:drawing>
          <wp:anchor distT="0" distB="0" distL="114300" distR="114300" simplePos="0" relativeHeight="251660288" behindDoc="1" locked="0" layoutInCell="1" allowOverlap="1">
            <wp:simplePos x="0" y="0"/>
            <wp:positionH relativeFrom="column">
              <wp:posOffset>1645285</wp:posOffset>
            </wp:positionH>
            <wp:positionV relativeFrom="paragraph">
              <wp:posOffset>72390</wp:posOffset>
            </wp:positionV>
            <wp:extent cx="1471930" cy="1310640"/>
            <wp:effectExtent l="0" t="0" r="6350" b="0"/>
            <wp:wrapTight wrapText="bothSides">
              <wp:wrapPolygon>
                <wp:start x="0" y="0"/>
                <wp:lineTo x="0" y="21349"/>
                <wp:lineTo x="21470" y="21349"/>
                <wp:lineTo x="21470" y="0"/>
                <wp:lineTo x="0" y="0"/>
              </wp:wrapPolygon>
            </wp:wrapTight>
            <wp:docPr id="1" name="图片 3" descr="局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局公众号"/>
                    <pic:cNvPicPr>
                      <a:picLocks noChangeAspect="1"/>
                    </pic:cNvPicPr>
                  </pic:nvPicPr>
                  <pic:blipFill>
                    <a:blip r:embed="rId4"/>
                    <a:stretch>
                      <a:fillRect/>
                    </a:stretch>
                  </pic:blipFill>
                  <pic:spPr>
                    <a:xfrm>
                      <a:off x="0" y="0"/>
                      <a:ext cx="1471930" cy="1310640"/>
                    </a:xfrm>
                    <a:prstGeom prst="rect">
                      <a:avLst/>
                    </a:prstGeom>
                    <a:noFill/>
                    <a:ln w="9525">
                      <a:noFill/>
                    </a:ln>
                  </pic:spPr>
                </pic:pic>
              </a:graphicData>
            </a:graphic>
          </wp:anchor>
        </w:drawing>
      </w:r>
      <w:r>
        <w:rPr>
          <w:rFonts w:hint="eastAsia" w:asciiTheme="minorEastAsia" w:hAnsiTheme="minorEastAsia" w:eastAsiaTheme="minorEastAsia" w:cstheme="minorEastAsia"/>
          <w:highlight w:val="none"/>
        </w:rPr>
        <w:t>更多城乡居民医保政策可关注微信公众号"福州市医疗保障局"了解或拨打咨询电话：12345</w:t>
      </w:r>
      <w:r>
        <w:rPr>
          <w:rFonts w:hint="eastAsia" w:asciiTheme="minorEastAsia" w:hAnsiTheme="minorEastAsia" w:eastAsiaTheme="minorEastAsia" w:cstheme="minorEastAsia"/>
          <w:highlight w:val="none"/>
          <w:lang w:val="en-US" w:eastAsia="zh-CN"/>
        </w:rPr>
        <w:t>转7</w:t>
      </w:r>
      <w:r>
        <w:rPr>
          <w:rFonts w:hint="eastAsia" w:asciiTheme="minorEastAsia" w:hAnsiTheme="minorEastAsia" w:eastAsiaTheme="minorEastAsia" w:cstheme="minorEastAsia"/>
          <w:highlight w:val="none"/>
        </w:rPr>
        <w:t>。城乡居民医保缴费事宜可关注微信公众号“福建税务”了解或拨打咨询电话：12366(纳税服务)、4000012266（社保费服务）。</w:t>
      </w:r>
    </w:p>
    <w:p>
      <w:pPr>
        <w:widowControl/>
        <w:spacing w:line="250" w:lineRule="exact"/>
        <w:ind w:firstLine="361" w:firstLineChars="200"/>
        <w:jc w:val="left"/>
        <w:outlineLvl w:val="0"/>
        <w:rPr>
          <w:rFonts w:asciiTheme="minorEastAsia" w:hAnsiTheme="minorEastAsia" w:eastAsiaTheme="minorEastAsia" w:cstheme="minorEastAsia"/>
          <w:sz w:val="18"/>
          <w:szCs w:val="18"/>
          <w:highlight w:val="none"/>
        </w:rPr>
      </w:pPr>
      <w:r>
        <w:rPr>
          <w:rFonts w:hint="eastAsia" w:asciiTheme="minorEastAsia" w:hAnsiTheme="minorEastAsia" w:eastAsiaTheme="minorEastAsia" w:cstheme="minorEastAsia"/>
          <w:b/>
          <w:bCs/>
          <w:sz w:val="18"/>
          <w:szCs w:val="18"/>
          <w:highlight w:val="none"/>
        </w:rPr>
        <w:t>◆福州市医疗保障基金中心（本部）</w:t>
      </w:r>
      <w:r>
        <w:rPr>
          <w:rFonts w:hint="eastAsia" w:asciiTheme="minorEastAsia" w:hAnsiTheme="minorEastAsia" w:eastAsiaTheme="minorEastAsia" w:cstheme="minorEastAsia"/>
          <w:sz w:val="18"/>
          <w:szCs w:val="18"/>
          <w:highlight w:val="none"/>
        </w:rPr>
        <w:t>（古田路60号福晟财富中心10层、11层，投诉电话：87842560 ）</w:t>
      </w:r>
    </w:p>
    <w:p>
      <w:pPr>
        <w:numPr>
          <w:ilvl w:val="0"/>
          <w:numId w:val="4"/>
        </w:numPr>
        <w:spacing w:line="250" w:lineRule="exact"/>
        <w:ind w:firstLine="301" w:firstLineChars="200"/>
        <w:rPr>
          <w:rFonts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鼓楼管理部</w:t>
      </w:r>
      <w:r>
        <w:rPr>
          <w:rFonts w:hint="eastAsia" w:asciiTheme="minorEastAsia" w:hAnsiTheme="minorEastAsia" w:eastAsiaTheme="minorEastAsia" w:cstheme="minorEastAsia"/>
          <w:sz w:val="15"/>
          <w:szCs w:val="15"/>
          <w:highlight w:val="none"/>
        </w:rPr>
        <w:t>（古田路60号福晟财富中心三层 FAX:88609673）</w:t>
      </w:r>
    </w:p>
    <w:p>
      <w:pPr>
        <w:numPr>
          <w:ilvl w:val="0"/>
          <w:numId w:val="4"/>
        </w:numPr>
        <w:spacing w:line="250" w:lineRule="exact"/>
        <w:ind w:firstLine="301" w:firstLineChars="200"/>
        <w:rPr>
          <w:rFonts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晋安管理部</w:t>
      </w:r>
      <w:r>
        <w:rPr>
          <w:rFonts w:hint="eastAsia" w:asciiTheme="minorEastAsia" w:hAnsiTheme="minorEastAsia" w:eastAsiaTheme="minorEastAsia" w:cstheme="minorEastAsia"/>
          <w:sz w:val="15"/>
          <w:szCs w:val="15"/>
          <w:highlight w:val="none"/>
        </w:rPr>
        <w:t>（入驻晋安市民服务中心东二环泰禾广场soho C5座二层 FAX:88609698）</w:t>
      </w:r>
    </w:p>
    <w:p>
      <w:pPr>
        <w:numPr>
          <w:ilvl w:val="0"/>
          <w:numId w:val="4"/>
        </w:numPr>
        <w:spacing w:line="250" w:lineRule="exact"/>
        <w:ind w:firstLine="301" w:firstLineChars="200"/>
        <w:rPr>
          <w:rFonts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仓山管理部</w:t>
      </w:r>
      <w:r>
        <w:rPr>
          <w:rFonts w:hint="eastAsia" w:asciiTheme="minorEastAsia" w:hAnsiTheme="minorEastAsia" w:eastAsiaTheme="minorEastAsia" w:cstheme="minorEastAsia"/>
          <w:sz w:val="15"/>
          <w:szCs w:val="15"/>
          <w:highlight w:val="none"/>
        </w:rPr>
        <w:t>（入驻仓山行政市民服务中心闽江大道238号FAX:83851830）</w:t>
      </w:r>
    </w:p>
    <w:p>
      <w:pPr>
        <w:numPr>
          <w:ilvl w:val="0"/>
          <w:numId w:val="4"/>
        </w:numPr>
        <w:spacing w:line="250" w:lineRule="exact"/>
        <w:ind w:firstLine="301" w:firstLineChars="200"/>
        <w:rPr>
          <w:rFonts w:asciiTheme="minorEastAsia" w:hAnsiTheme="minorEastAsia" w:eastAsiaTheme="minorEastAsia" w:cstheme="minorEastAsia"/>
          <w:sz w:val="15"/>
          <w:szCs w:val="15"/>
          <w:highlight w:val="none"/>
        </w:rPr>
      </w:pPr>
      <w:r>
        <w:rPr>
          <w:rFonts w:hint="eastAsia" w:asciiTheme="minorEastAsia" w:hAnsiTheme="minorEastAsia" w:eastAsiaTheme="minorEastAsia" w:cstheme="minorEastAsia"/>
          <w:b/>
          <w:bCs/>
          <w:sz w:val="15"/>
          <w:szCs w:val="15"/>
          <w:highlight w:val="none"/>
        </w:rPr>
        <w:t>台江管理部</w:t>
      </w:r>
      <w:r>
        <w:rPr>
          <w:rFonts w:hint="eastAsia" w:asciiTheme="minorEastAsia" w:hAnsiTheme="minorEastAsia" w:eastAsiaTheme="minorEastAsia" w:cstheme="minorEastAsia"/>
          <w:sz w:val="15"/>
          <w:szCs w:val="15"/>
          <w:highlight w:val="none"/>
        </w:rPr>
        <w:t>（入驻市市民服务中心高桥路69号 FAX:88235259）</w:t>
      </w:r>
    </w:p>
    <w:p>
      <w:pPr>
        <w:spacing w:line="250" w:lineRule="exact"/>
        <w:ind w:firstLine="300" w:firstLineChars="200"/>
        <w:jc w:val="right"/>
        <w:rPr>
          <w:rFonts w:hint="eastAsia" w:cs="宋体"/>
          <w:b w:val="0"/>
          <w:bCs w:val="0"/>
          <w:sz w:val="15"/>
          <w:szCs w:val="15"/>
          <w:highlight w:val="none"/>
          <w:lang w:eastAsia="zh-CN"/>
        </w:rPr>
      </w:pPr>
    </w:p>
    <w:p>
      <w:pPr>
        <w:spacing w:line="250" w:lineRule="exact"/>
        <w:ind w:firstLine="300" w:firstLineChars="200"/>
        <w:jc w:val="right"/>
        <w:rPr>
          <w:rFonts w:hint="eastAsia" w:cs="宋体"/>
          <w:b w:val="0"/>
          <w:bCs w:val="0"/>
          <w:sz w:val="15"/>
          <w:szCs w:val="15"/>
          <w:highlight w:val="none"/>
          <w:lang w:eastAsia="zh-CN"/>
        </w:rPr>
      </w:pPr>
    </w:p>
    <w:p>
      <w:pPr>
        <w:spacing w:line="250" w:lineRule="exact"/>
        <w:ind w:firstLine="300" w:firstLineChars="200"/>
        <w:jc w:val="right"/>
        <w:rPr>
          <w:rFonts w:asciiTheme="minorEastAsia" w:hAnsiTheme="minorEastAsia" w:eastAsiaTheme="minorEastAsia" w:cstheme="minorEastAsia"/>
          <w:sz w:val="15"/>
          <w:szCs w:val="15"/>
          <w:highlight w:val="none"/>
        </w:rPr>
      </w:pPr>
      <w:r>
        <w:rPr>
          <w:rFonts w:hint="eastAsia" w:cs="宋体"/>
          <w:b w:val="0"/>
          <w:bCs w:val="0"/>
          <w:sz w:val="15"/>
          <w:szCs w:val="15"/>
          <w:highlight w:val="none"/>
          <w:lang w:eastAsia="zh-CN"/>
        </w:rPr>
        <w:t>（</w:t>
      </w:r>
      <w:r>
        <w:rPr>
          <w:rFonts w:hint="eastAsia" w:cs="宋体"/>
          <w:b w:val="0"/>
          <w:bCs w:val="0"/>
          <w:sz w:val="15"/>
          <w:szCs w:val="15"/>
          <w:highlight w:val="none"/>
          <w:lang w:val="en-US" w:eastAsia="zh-CN"/>
        </w:rPr>
        <w:t>综合业务科 2020年9月</w:t>
      </w:r>
      <w:r>
        <w:rPr>
          <w:rFonts w:hint="eastAsia" w:cs="宋体"/>
          <w:b w:val="0"/>
          <w:bCs w:val="0"/>
          <w:sz w:val="15"/>
          <w:szCs w:val="15"/>
          <w:highlight w:val="none"/>
          <w:lang w:eastAsia="zh-CN"/>
        </w:rPr>
        <w:t>）</w:t>
      </w:r>
    </w:p>
    <w:sectPr>
      <w:pgSz w:w="11906" w:h="16838"/>
      <w:pgMar w:top="510" w:right="720" w:bottom="510" w:left="720" w:header="851" w:footer="992" w:gutter="0"/>
      <w:cols w:equalWidth="0" w:num="2">
        <w:col w:w="5020" w:space="425"/>
        <w:col w:w="5020"/>
      </w:cols>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libri Light">
    <w:panose1 w:val="020F03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B54CB"/>
    <w:multiLevelType w:val="singleLevel"/>
    <w:tmpl w:val="5C9B54CB"/>
    <w:lvl w:ilvl="0" w:tentative="0">
      <w:start w:val="2"/>
      <w:numFmt w:val="decimal"/>
      <w:suff w:val="nothing"/>
      <w:lvlText w:val="%1、"/>
      <w:lvlJc w:val="left"/>
    </w:lvl>
  </w:abstractNum>
  <w:abstractNum w:abstractNumId="1">
    <w:nsid w:val="5C9B555E"/>
    <w:multiLevelType w:val="singleLevel"/>
    <w:tmpl w:val="5C9B555E"/>
    <w:lvl w:ilvl="0" w:tentative="0">
      <w:start w:val="1"/>
      <w:numFmt w:val="decimal"/>
      <w:suff w:val="nothing"/>
      <w:lvlText w:val="%1、"/>
      <w:lvlJc w:val="left"/>
    </w:lvl>
  </w:abstractNum>
  <w:abstractNum w:abstractNumId="2">
    <w:nsid w:val="5D665836"/>
    <w:multiLevelType w:val="singleLevel"/>
    <w:tmpl w:val="5D665836"/>
    <w:lvl w:ilvl="0" w:tentative="0">
      <w:start w:val="4"/>
      <w:numFmt w:val="chineseCounting"/>
      <w:suff w:val="nothing"/>
      <w:lvlText w:val="%1、"/>
      <w:lvlJc w:val="left"/>
    </w:lvl>
  </w:abstractNum>
  <w:abstractNum w:abstractNumId="3">
    <w:nsid w:val="5D666325"/>
    <w:multiLevelType w:val="singleLevel"/>
    <w:tmpl w:val="5D666325"/>
    <w:lvl w:ilvl="0" w:tentative="0">
      <w:start w:val="2"/>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63E03DF"/>
    <w:rsid w:val="00011D20"/>
    <w:rsid w:val="000C1093"/>
    <w:rsid w:val="000C5E39"/>
    <w:rsid w:val="000C7BAE"/>
    <w:rsid w:val="0011141F"/>
    <w:rsid w:val="001400C2"/>
    <w:rsid w:val="001969E4"/>
    <w:rsid w:val="00204606"/>
    <w:rsid w:val="002903FB"/>
    <w:rsid w:val="002B0FBA"/>
    <w:rsid w:val="002B31DF"/>
    <w:rsid w:val="00300203"/>
    <w:rsid w:val="00344142"/>
    <w:rsid w:val="00424BBC"/>
    <w:rsid w:val="00447177"/>
    <w:rsid w:val="00472C96"/>
    <w:rsid w:val="00495CD8"/>
    <w:rsid w:val="004A28CD"/>
    <w:rsid w:val="0057243F"/>
    <w:rsid w:val="00622807"/>
    <w:rsid w:val="006B0485"/>
    <w:rsid w:val="00706F09"/>
    <w:rsid w:val="00760E8E"/>
    <w:rsid w:val="007B7FA1"/>
    <w:rsid w:val="007C36FB"/>
    <w:rsid w:val="008823E8"/>
    <w:rsid w:val="0089044C"/>
    <w:rsid w:val="008A0879"/>
    <w:rsid w:val="008C05E9"/>
    <w:rsid w:val="00943ACB"/>
    <w:rsid w:val="00A3431C"/>
    <w:rsid w:val="00B74367"/>
    <w:rsid w:val="00BB415A"/>
    <w:rsid w:val="00BD4B20"/>
    <w:rsid w:val="00C15C77"/>
    <w:rsid w:val="00C30CD3"/>
    <w:rsid w:val="00D93BAE"/>
    <w:rsid w:val="00DA5BE2"/>
    <w:rsid w:val="00DD2451"/>
    <w:rsid w:val="00DF6E82"/>
    <w:rsid w:val="00E06234"/>
    <w:rsid w:val="00EE7CE1"/>
    <w:rsid w:val="00F1506D"/>
    <w:rsid w:val="07617207"/>
    <w:rsid w:val="092D7860"/>
    <w:rsid w:val="0FC31C53"/>
    <w:rsid w:val="11D930A2"/>
    <w:rsid w:val="14720D5F"/>
    <w:rsid w:val="15004388"/>
    <w:rsid w:val="163E03DF"/>
    <w:rsid w:val="19925216"/>
    <w:rsid w:val="1A0D5EB5"/>
    <w:rsid w:val="295A5FDA"/>
    <w:rsid w:val="338B242A"/>
    <w:rsid w:val="352F7215"/>
    <w:rsid w:val="38AC30A5"/>
    <w:rsid w:val="3D2B7304"/>
    <w:rsid w:val="43DE5BAA"/>
    <w:rsid w:val="45195F71"/>
    <w:rsid w:val="4A9E3CEC"/>
    <w:rsid w:val="5362347F"/>
    <w:rsid w:val="54BB614B"/>
    <w:rsid w:val="57BC4F62"/>
    <w:rsid w:val="582D41A5"/>
    <w:rsid w:val="60CB7797"/>
    <w:rsid w:val="61161D16"/>
    <w:rsid w:val="612230FD"/>
    <w:rsid w:val="67481075"/>
    <w:rsid w:val="67F135D1"/>
    <w:rsid w:val="6B47634D"/>
    <w:rsid w:val="786D4511"/>
    <w:rsid w:val="7A03339A"/>
    <w:rsid w:val="7AFA13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Title"/>
    <w:basedOn w:val="1"/>
    <w:next w:val="1"/>
    <w:qFormat/>
    <w:uiPriority w:val="0"/>
    <w:pPr>
      <w:spacing w:before="240" w:after="60"/>
      <w:jc w:val="center"/>
      <w:outlineLvl w:val="0"/>
    </w:pPr>
    <w:rPr>
      <w:rFonts w:ascii="Cambria" w:hAnsi="Cambria" w:cs="Cambria"/>
      <w:b/>
      <w:bCs/>
      <w:sz w:val="32"/>
      <w:szCs w:val="32"/>
    </w:rPr>
  </w:style>
  <w:style w:type="character" w:styleId="6">
    <w:name w:val="Strong"/>
    <w:basedOn w:val="5"/>
    <w:qFormat/>
    <w:uiPriority w:val="0"/>
    <w:rPr>
      <w:rFonts w:hint="eastAsia" w:ascii="Calibri" w:hAnsi="Calibri" w:eastAsia="宋体" w:cs="Times New Roman"/>
      <w:b/>
    </w:rPr>
  </w:style>
  <w:style w:type="paragraph" w:customStyle="1" w:styleId="8">
    <w:name w:val="无间隔1"/>
    <w:qFormat/>
    <w:uiPriority w:val="99"/>
    <w:pPr>
      <w:widowControl w:val="0"/>
      <w:jc w:val="both"/>
    </w:pPr>
    <w:rPr>
      <w:rFonts w:ascii="Calibri" w:hAnsi="Calibri" w:eastAsia="宋体" w:cs="Calibri"/>
      <w:kern w:val="2"/>
      <w:sz w:val="21"/>
      <w:szCs w:val="21"/>
      <w:lang w:val="en-US" w:eastAsia="zh-CN" w:bidi="ar-SA"/>
    </w:rPr>
  </w:style>
  <w:style w:type="paragraph" w:customStyle="1" w:styleId="9">
    <w:name w:val="_Style 0"/>
    <w:qFormat/>
    <w:uiPriority w:val="1"/>
    <w:pPr>
      <w:widowControl w:val="0"/>
      <w:jc w:val="both"/>
    </w:pPr>
    <w:rPr>
      <w:rFonts w:ascii="Calibri" w:hAnsi="Calibri" w:eastAsiaTheme="minorEastAsia" w:cstheme="minorBidi"/>
      <w:kern w:val="2"/>
      <w:sz w:val="21"/>
      <w:szCs w:val="22"/>
      <w:lang w:val="en-US" w:eastAsia="zh-CN" w:bidi="ar-SA"/>
    </w:rPr>
  </w:style>
  <w:style w:type="character" w:customStyle="1" w:styleId="10">
    <w:name w:val="页眉 Char"/>
    <w:basedOn w:val="5"/>
    <w:link w:val="3"/>
    <w:qFormat/>
    <w:uiPriority w:val="0"/>
    <w:rPr>
      <w:rFonts w:ascii="Calibri" w:hAnsi="Calibri" w:eastAsia="宋体" w:cs="Calibri"/>
      <w:kern w:val="2"/>
      <w:sz w:val="18"/>
      <w:szCs w:val="18"/>
    </w:rPr>
  </w:style>
  <w:style w:type="character" w:customStyle="1" w:styleId="11">
    <w:name w:val="页脚 Char"/>
    <w:basedOn w:val="5"/>
    <w:link w:val="2"/>
    <w:qFormat/>
    <w:uiPriority w:val="0"/>
    <w:rPr>
      <w:rFonts w:ascii="Calibri" w:hAnsi="Calibri" w:eastAsia="宋体" w:cs="Calibri"/>
      <w:kern w:val="2"/>
      <w:sz w:val="18"/>
      <w:szCs w:val="18"/>
    </w:rPr>
  </w:style>
  <w:style w:type="paragraph" w:customStyle="1"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3970</Words>
  <Characters>355</Characters>
  <Lines>2</Lines>
  <Paragraphs>8</Paragraphs>
  <ScaleCrop>false</ScaleCrop>
  <LinksUpToDate>false</LinksUpToDate>
  <CharactersWithSpaces>4317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2019-08-28T10:53:00Z</dcterms:created>
  <dc:creator>邹</dc:creator>
  <cp:lastModifiedBy>zcx</cp:lastModifiedBy>
  <dcterms:modified xsi:type="dcterms:W3CDTF">2020-09-18T02:53:06Z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